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enter" w:pos="4252"/>
          <w:tab w:val="right" w:pos="8504"/>
        </w:tabs>
        <w:spacing w:before="100" w:beforeAutospacing="1" w:after="100" w:afterAutospacing="1"/>
        <w:rPr>
          <w:rFonts w:hint="default"/>
          <w:sz w:val="36"/>
          <w:lang w:val="pt-BR"/>
        </w:rPr>
      </w:pPr>
      <w:r>
        <w:rPr>
          <w:sz w:val="36"/>
        </w:rPr>
        <w:t>TERMO DE REFERÊNCIA PARA DISPENSA(BENS)</w:t>
      </w:r>
      <w:r>
        <w:rPr>
          <w:rFonts w:hint="default"/>
          <w:sz w:val="36"/>
          <w:lang w:val="pt-BR"/>
        </w:rPr>
        <w:t xml:space="preserve"> 21/2023</w:t>
      </w:r>
    </w:p>
    <w:p/>
    <w:p>
      <w:pPr>
        <w:pStyle w:val="5"/>
        <w:spacing w:after="12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Da</w:t>
      </w:r>
      <w:r>
        <w:rPr>
          <w:rFonts w:ascii="Arial" w:hAnsi="Arial" w:cs="Arial"/>
          <w:sz w:val="24"/>
          <w:szCs w:val="24"/>
          <w:lang w:val="pt-BR"/>
        </w:rPr>
        <w:t xml:space="preserve">: Secretaria Municipal de </w:t>
      </w:r>
      <w:r>
        <w:rPr>
          <w:rFonts w:hint="default" w:ascii="Arial" w:hAnsi="Arial" w:cs="Arial"/>
          <w:sz w:val="24"/>
          <w:szCs w:val="24"/>
          <w:lang w:val="pt-BR"/>
        </w:rPr>
        <w:t>Desenvolvimento e Integração Social</w:t>
      </w:r>
    </w:p>
    <w:p>
      <w:pPr>
        <w:spacing w:after="120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</w:t>
      </w:r>
      <w:r>
        <w:rPr>
          <w:rFonts w:ascii="Arial" w:hAnsi="Arial" w:cs="Arial"/>
        </w:rPr>
        <w:t>: Departamento de Licitação</w:t>
      </w:r>
    </w:p>
    <w:p>
      <w:pPr>
        <w:spacing w:after="120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Encaminhamento</w:t>
      </w:r>
      <w:r>
        <w:rPr>
          <w:rFonts w:ascii="Arial" w:hAnsi="Arial" w:cs="Arial"/>
        </w:rPr>
        <w:t>: Para Comissão Permanente Da Licitação</w:t>
      </w:r>
    </w:p>
    <w:p>
      <w:pPr>
        <w:spacing w:after="120"/>
        <w:rPr>
          <w:rFonts w:ascii="Arial" w:hAnsi="Arial" w:cs="Arial"/>
        </w:rPr>
      </w:pPr>
    </w:p>
    <w:p>
      <w:pPr>
        <w:spacing w:after="120"/>
        <w:rPr>
          <w:rFonts w:hint="default" w:ascii="Arial" w:hAnsi="Arial" w:cs="Arial"/>
          <w:bCs/>
          <w:lang w:val="pt-BR"/>
        </w:rPr>
      </w:pPr>
      <w:r>
        <w:rPr>
          <w:rFonts w:ascii="Arial" w:hAnsi="Arial" w:cs="Arial"/>
          <w:b/>
          <w:bCs/>
        </w:rPr>
        <w:t>Assunto</w:t>
      </w:r>
      <w:r>
        <w:rPr>
          <w:rFonts w:ascii="Arial" w:hAnsi="Arial" w:cs="Arial"/>
          <w:bCs/>
        </w:rPr>
        <w:t xml:space="preserve">: </w:t>
      </w:r>
      <w:r>
        <w:rPr>
          <w:rFonts w:hint="default" w:ascii="Arial" w:hAnsi="Arial" w:cs="Arial"/>
          <w:bCs/>
          <w:lang w:val="pt-BR"/>
        </w:rPr>
        <w:t>Aquisição de medicamentos.</w:t>
      </w:r>
    </w:p>
    <w:p>
      <w:pPr>
        <w:spacing w:after="120"/>
        <w:rPr>
          <w:rFonts w:ascii="Arial" w:hAnsi="Arial" w:cs="Arial"/>
          <w:bCs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Objeto</w:t>
      </w:r>
      <w:r>
        <w:rPr>
          <w:rFonts w:ascii="Arial" w:hAnsi="Arial" w:cs="Arial"/>
          <w:bCs/>
        </w:rPr>
        <w:t xml:space="preserve">: </w:t>
      </w:r>
      <w:r>
        <w:rPr>
          <w:rFonts w:hint="default" w:ascii="Arial" w:hAnsi="Arial" w:eastAsia="Arial Unicode MS" w:cs="Arial"/>
          <w:sz w:val="24"/>
          <w:szCs w:val="24"/>
          <w:lang w:val="pt-BR"/>
        </w:rPr>
        <w:t>Aquisição</w:t>
      </w:r>
      <w:r>
        <w:rPr>
          <w:rFonts w:hint="default" w:ascii="Arial" w:hAnsi="Arial" w:eastAsia="Arial Unicode MS" w:cs="Arial"/>
          <w:sz w:val="24"/>
          <w:szCs w:val="24"/>
        </w:rPr>
        <w:t xml:space="preserve"> de medicamentos descritos abaixo para atender </w:t>
      </w:r>
      <w:r>
        <w:rPr>
          <w:rFonts w:hint="default" w:ascii="Arial" w:hAnsi="Arial" w:eastAsia="Arial Unicode MS" w:cs="Arial"/>
          <w:sz w:val="24"/>
          <w:szCs w:val="24"/>
          <w:lang w:val="pt-BR"/>
        </w:rPr>
        <w:t>a acolhida residente n</w:t>
      </w:r>
      <w:r>
        <w:rPr>
          <w:rFonts w:hint="default" w:ascii="Arial" w:hAnsi="Arial" w:eastAsia="Arial Unicode MS" w:cs="Arial"/>
          <w:sz w:val="24"/>
          <w:szCs w:val="24"/>
        </w:rPr>
        <w:t xml:space="preserve">o </w:t>
      </w:r>
      <w:r>
        <w:rPr>
          <w:rFonts w:hint="default" w:ascii="Arial" w:hAnsi="Arial" w:cs="Arial"/>
          <w:sz w:val="24"/>
          <w:szCs w:val="24"/>
        </w:rPr>
        <w:t xml:space="preserve">Centro de Acolhimento Institucional “Dra. Ana Lúcia Rodrigues Costa”, que está fazendo tratamento com </w:t>
      </w:r>
      <w:r>
        <w:rPr>
          <w:rFonts w:hint="default" w:ascii="Arial" w:hAnsi="Arial" w:cs="Arial"/>
          <w:sz w:val="24"/>
          <w:szCs w:val="24"/>
          <w:lang w:val="pt-BR"/>
        </w:rPr>
        <w:t>psiquiatrico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spacing w:after="120"/>
        <w:rPr>
          <w:rFonts w:ascii="Arial" w:hAnsi="Arial" w:cs="Arial"/>
        </w:rPr>
      </w:pPr>
    </w:p>
    <w:p>
      <w:pPr>
        <w:spacing w:after="120"/>
        <w:rPr>
          <w:rFonts w:hint="default" w:ascii="Arial" w:hAnsi="Arial" w:cs="Arial"/>
          <w:b/>
          <w:bCs/>
          <w:highlight w:val="none"/>
          <w:lang w:val="pt-BR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Critério de julgamento: Menor preço por item.</w:t>
      </w:r>
    </w:p>
    <w:p>
      <w:pPr>
        <w:spacing w:after="120"/>
        <w:rPr>
          <w:rFonts w:hint="default" w:ascii="Arial" w:hAnsi="Arial" w:cs="Arial"/>
          <w:b/>
          <w:bCs/>
          <w:lang w:val="pt-BR"/>
        </w:rPr>
      </w:pPr>
    </w:p>
    <w:p>
      <w:pPr>
        <w:spacing w:after="12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eastAsia="Arial Unicode MS" w:cs="Arial"/>
          <w:b/>
        </w:rPr>
        <w:t>Justificativa da dispensa</w:t>
      </w:r>
      <w:r>
        <w:rPr>
          <w:rFonts w:ascii="Arial" w:hAnsi="Arial" w:eastAsia="Arial Unicode MS" w:cs="Arial"/>
        </w:rPr>
        <w:t>:</w:t>
      </w:r>
      <w:r>
        <w:rPr>
          <w:rFonts w:hint="default" w:ascii="Arial" w:hAnsi="Arial" w:eastAsia="Arial Unicode MS" w:cs="Arial"/>
          <w:lang w:val="pt-BR"/>
        </w:rPr>
        <w:t xml:space="preserve"> </w:t>
      </w:r>
      <w:r>
        <w:rPr>
          <w:rFonts w:hint="default" w:ascii="Arial" w:hAnsi="Arial" w:eastAsia="Open Sans" w:cs="Arial"/>
          <w:sz w:val="24"/>
          <w:szCs w:val="24"/>
        </w:rPr>
        <w:t>Faz-se necessária a compra</w:t>
      </w:r>
      <w:r>
        <w:rPr>
          <w:rFonts w:hint="default" w:ascii="Arial" w:hAnsi="Arial" w:eastAsia="Open Sans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eastAsia="Open Sans" w:cs="Arial"/>
          <w:sz w:val="24"/>
          <w:szCs w:val="24"/>
        </w:rPr>
        <w:t>destes medicamentos para atender as demandas do Centro de Acolhimento</w:t>
      </w:r>
      <w:r>
        <w:rPr>
          <w:rFonts w:hint="default" w:ascii="Arial" w:hAnsi="Arial" w:eastAsia="Open Sans" w:cs="Arial"/>
          <w:sz w:val="24"/>
          <w:szCs w:val="24"/>
          <w:lang w:val="pt-BR"/>
        </w:rPr>
        <w:t xml:space="preserve"> por um periodo de 3 meses, uma vez que a acolhida residente necessita dos medicamentos para tratamento psiquiatrico</w:t>
      </w:r>
      <w:r>
        <w:rPr>
          <w:rFonts w:hint="default" w:ascii="Arial" w:hAnsi="Arial" w:cs="Arial"/>
          <w:sz w:val="24"/>
          <w:szCs w:val="24"/>
          <w:lang w:val="pt-BR"/>
        </w:rPr>
        <w:t>. A acolhida faz acompanhamento trimestral com médica psiquiatrica, a qual avaliará o progresso do tratamento.</w:t>
      </w:r>
    </w:p>
    <w:p>
      <w:pPr>
        <w:spacing w:after="120"/>
        <w:jc w:val="both"/>
        <w:rPr>
          <w:rFonts w:ascii="Arial" w:hAnsi="Arial" w:eastAsia="Arial Unicode MS" w:cs="Arial"/>
        </w:rPr>
      </w:pPr>
      <w:r>
        <w:rPr>
          <w:rFonts w:ascii="Arial" w:hAnsi="Arial" w:eastAsia="Arial Unicode MS" w:cs="Arial"/>
        </w:rPr>
        <w:t xml:space="preserve"> </w:t>
      </w:r>
    </w:p>
    <w:p>
      <w:pPr>
        <w:spacing w:after="120"/>
        <w:jc w:val="both"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  <w:t xml:space="preserve">Assim faz-se necessária a presente dispensa baseada no Art. 75 da lei 14.133, inciso VIII. </w:t>
      </w:r>
    </w:p>
    <w:p>
      <w:pPr>
        <w:spacing w:after="120"/>
        <w:jc w:val="both"/>
        <w:rPr>
          <w:rFonts w:ascii="Arial" w:hAnsi="Arial" w:cs="Arial"/>
          <w:highlight w:val="none"/>
        </w:rPr>
      </w:pPr>
    </w:p>
    <w:p>
      <w:pPr>
        <w:spacing w:after="120"/>
        <w:jc w:val="both"/>
        <w:rPr>
          <w:rFonts w:ascii="Arial" w:hAnsi="Arial" w:eastAsia="Arial Unicode MS" w:cs="Arial"/>
        </w:rPr>
      </w:pPr>
      <w:r>
        <w:rPr>
          <w:rFonts w:ascii="Arial" w:hAnsi="Arial" w:eastAsia="Arial Unicode MS" w:cs="Arial"/>
          <w:b/>
        </w:rPr>
        <w:t>Da Especificação do Objeto</w:t>
      </w:r>
      <w:r>
        <w:rPr>
          <w:rFonts w:ascii="Arial" w:hAnsi="Arial" w:eastAsia="Arial Unicode MS" w:cs="Arial"/>
        </w:rPr>
        <w:t>:</w:t>
      </w:r>
    </w:p>
    <w:p>
      <w:pPr>
        <w:spacing w:after="120"/>
        <w:jc w:val="both"/>
        <w:rPr>
          <w:rFonts w:ascii="Arial" w:hAnsi="Arial" w:eastAsia="Arial Unicode MS" w:cs="Arial"/>
        </w:rPr>
      </w:pPr>
    </w:p>
    <w:tbl>
      <w:tblPr>
        <w:tblStyle w:val="7"/>
        <w:tblW w:w="4378" w:type="pct"/>
        <w:tblInd w:w="8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88" w:type="dxa"/>
          <w:bottom w:w="0" w:type="dxa"/>
          <w:right w:w="108" w:type="dxa"/>
        </w:tblCellMar>
      </w:tblPr>
      <w:tblGrid>
        <w:gridCol w:w="666"/>
        <w:gridCol w:w="4610"/>
        <w:gridCol w:w="1095"/>
        <w:gridCol w:w="1247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735" w:hRule="atLeast"/>
        </w:trPr>
        <w:tc>
          <w:tcPr>
            <w:tcW w:w="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46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Descrição do Produto</w:t>
            </w:r>
          </w:p>
        </w:tc>
        <w:tc>
          <w:tcPr>
            <w:tcW w:w="10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</w:p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Qnde</w:t>
            </w:r>
          </w:p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0C0C0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Apres.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 w:eastAsiaTheme="minorEastAsia"/>
                <w:color w:val="auto"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Arial" w:hAnsi="Arial" w:cs="Arial" w:eastAsiaTheme="minorEastAsia"/>
                <w:color w:val="auto"/>
                <w:sz w:val="20"/>
                <w:szCs w:val="20"/>
                <w:lang w:val="en-US" w:eastAsia="pt-BR" w:bidi="ar-SA"/>
              </w:rPr>
              <w:t>Risperidona 2mg, caixa com 30 comprimidos.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 w:eastAsiaTheme="minorEastAsia"/>
                <w:color w:val="FF0000"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10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CX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c>
          <w:tcPr>
            <w:tcW w:w="6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02</w:t>
            </w:r>
          </w:p>
        </w:tc>
        <w:tc>
          <w:tcPr>
            <w:tcW w:w="46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instrText xml:space="preserve"> HYPERLINK "https://www.drogal.com.br/neuleptil-1-ped-gts-20ml-c1/p" </w:instrText>
            </w:r>
            <w:r>
              <w:rPr>
                <w:rFonts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fldChar w:fldCharType="separate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45" w:afterAutospacing="0" w:line="15" w:lineRule="atLeast"/>
              <w:ind w:left="0" w:right="0"/>
              <w:jc w:val="left"/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</w:rPr>
              <w:t>Neuleptil 1%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lang w:val="pt-BR"/>
              </w:rPr>
              <w:t>,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</w:rPr>
              <w:t xml:space="preserve"> 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lang w:val="pt-BR"/>
              </w:rPr>
              <w:t>S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</w:rPr>
              <w:t xml:space="preserve">olução 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lang w:val="pt-BR"/>
              </w:rPr>
              <w:t>O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</w:rPr>
              <w:t>ral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lang w:val="pt-BR"/>
              </w:rPr>
              <w:t>, F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</w:rPr>
              <w:t>rasco com 20ml</w:t>
            </w:r>
            <w:r>
              <w:rPr>
                <w:rStyle w:val="9"/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  <w:shd w:val="clear" w:fill="FFFFFF"/>
                <w:lang w:val="pt-B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Open Sans" w:cs="Arial"/>
                <w:b w:val="0"/>
                <w:bCs w:val="0"/>
                <w:color w:val="auto"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20"/>
                <w:szCs w:val="20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FR</w:t>
            </w:r>
          </w:p>
        </w:tc>
      </w:tr>
    </w:tbl>
    <w:p>
      <w:pPr>
        <w:spacing w:after="120"/>
        <w:jc w:val="both"/>
        <w:rPr>
          <w:rFonts w:ascii="Arial" w:hAnsi="Arial" w:eastAsia="Arial Unicode MS" w:cs="Arial"/>
          <w:b/>
        </w:rPr>
      </w:pPr>
    </w:p>
    <w:p>
      <w:pPr>
        <w:spacing w:after="120"/>
        <w:jc w:val="both"/>
        <w:rPr>
          <w:rFonts w:ascii="Arial" w:hAnsi="Arial" w:eastAsia="Arial Unicode MS" w:cs="Arial"/>
          <w:color w:val="auto"/>
        </w:rPr>
      </w:pPr>
      <w:r>
        <w:rPr>
          <w:rFonts w:ascii="Arial" w:hAnsi="Arial" w:eastAsia="Arial Unicode MS" w:cs="Arial"/>
          <w:b/>
          <w:color w:val="auto"/>
        </w:rPr>
        <w:t>Requisitos Necessários</w:t>
      </w:r>
      <w:r>
        <w:rPr>
          <w:rFonts w:ascii="Arial" w:hAnsi="Arial" w:eastAsia="Arial Unicode MS" w:cs="Arial"/>
          <w:color w:val="auto"/>
        </w:rPr>
        <w:t>: apresentar documentação fiscal: CND federal, estadual, municipal, CNDT, FGTS, falência e concordata.</w:t>
      </w:r>
    </w:p>
    <w:p>
      <w:pPr>
        <w:spacing w:after="120"/>
        <w:jc w:val="both"/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</w:pPr>
      <w:bookmarkStart w:id="0" w:name="_GoBack"/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Apresentar a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utorização para funcionamento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emitida pelo Serviço de Vigilância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Sanitária da Secretaria de Saúde Estadual ou Municipal da sede do licitante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, bem como Certidão de Regularidade emitido pelo Conselho Federal de Farmácia.</w:t>
      </w:r>
    </w:p>
    <w:bookmarkEnd w:id="0"/>
    <w:p>
      <w:pPr>
        <w:pStyle w:val="18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Condições de Execução:</w:t>
      </w:r>
    </w:p>
    <w:p>
      <w:pPr>
        <w:pStyle w:val="18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entrega deverá ser realizada no prazo máximo de </w:t>
      </w:r>
      <w:r>
        <w:rPr>
          <w:rFonts w:hint="default" w:ascii="Arial" w:hAnsi="Arial" w:cs="Arial"/>
          <w:color w:val="auto"/>
          <w:lang w:val="pt-BR"/>
        </w:rPr>
        <w:t>24 horas</w:t>
      </w:r>
      <w:r>
        <w:rPr>
          <w:rFonts w:ascii="Arial" w:hAnsi="Arial" w:cs="Arial"/>
          <w:color w:val="auto"/>
        </w:rPr>
        <w:t xml:space="preserve"> a partir do recebimento da ordem de compra.</w:t>
      </w:r>
    </w:p>
    <w:p>
      <w:pPr>
        <w:pStyle w:val="18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É obrigatório entregar a nota fiscal junto com a entrega do produto. Não serão aceitas notas fiscais enviadas por email para fim de recebimento.</w:t>
      </w:r>
    </w:p>
    <w:p>
      <w:pPr>
        <w:pStyle w:val="18"/>
        <w:spacing w:after="120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  <w:color w:val="auto"/>
        </w:rPr>
        <w:t xml:space="preserve">A entrega dos produtos será feita no </w:t>
      </w:r>
      <w:r>
        <w:rPr>
          <w:rFonts w:hint="default" w:ascii="Arial" w:hAnsi="Arial" w:cs="Arial"/>
          <w:color w:val="auto"/>
          <w:lang w:val="pt-BR"/>
        </w:rPr>
        <w:t>Centro de Acolhimento Institucional Drª Ana Lúcia Rodrigues Costa</w:t>
      </w:r>
      <w:r>
        <w:rPr>
          <w:rFonts w:ascii="Arial" w:hAnsi="Arial" w:cs="Arial"/>
          <w:color w:val="auto"/>
        </w:rPr>
        <w:t xml:space="preserve"> – Rua </w:t>
      </w:r>
      <w:r>
        <w:rPr>
          <w:rFonts w:hint="default" w:ascii="Arial" w:hAnsi="Arial" w:cs="Arial"/>
          <w:color w:val="auto"/>
          <w:lang w:val="pt-BR"/>
        </w:rPr>
        <w:t>Caneto Vieira, 99</w:t>
      </w:r>
      <w:r>
        <w:rPr>
          <w:rFonts w:ascii="Arial" w:hAnsi="Arial" w:cs="Arial"/>
          <w:color w:val="auto"/>
        </w:rPr>
        <w:t>, Bairro</w:t>
      </w:r>
      <w:r>
        <w:rPr>
          <w:rFonts w:hint="default" w:ascii="Arial" w:hAnsi="Arial" w:cs="Arial"/>
          <w:color w:val="auto"/>
          <w:lang w:val="pt-BR"/>
        </w:rPr>
        <w:t xml:space="preserve"> Cidade Nova, </w:t>
      </w:r>
      <w:r>
        <w:rPr>
          <w:rFonts w:ascii="Arial" w:hAnsi="Arial" w:cs="Arial"/>
          <w:color w:val="auto"/>
        </w:rPr>
        <w:t xml:space="preserve"> Arcos, MG</w:t>
      </w:r>
      <w:r>
        <w:rPr>
          <w:rFonts w:hint="default" w:ascii="Arial" w:hAnsi="Arial" w:cs="Arial"/>
          <w:color w:val="auto"/>
          <w:lang w:val="pt-BR"/>
        </w:rPr>
        <w:t>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horário para entrega será estipulado na ordem de fornecimento.</w:t>
      </w:r>
    </w:p>
    <w:p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Secretaria requisitante, não autorizarão </w:t>
      </w:r>
      <w:r>
        <w:rPr>
          <w:rFonts w:hint="default" w:ascii="Arial" w:hAnsi="Arial" w:cs="Arial"/>
          <w:lang w:val="pt-BR"/>
        </w:rPr>
        <w:t>a entrega</w:t>
      </w:r>
      <w:r>
        <w:rPr>
          <w:rFonts w:ascii="Arial" w:hAnsi="Arial" w:cs="Arial"/>
        </w:rPr>
        <w:t xml:space="preserve"> fora do horário estipulado na NAF.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de reprovação do produto, a empresa terá </w:t>
      </w:r>
      <w:r>
        <w:rPr>
          <w:rFonts w:hint="default" w:ascii="Arial" w:hAnsi="Arial" w:cs="Arial"/>
          <w:lang w:val="pt-BR"/>
        </w:rPr>
        <w:t>24 horas</w:t>
      </w:r>
      <w:r>
        <w:rPr>
          <w:rFonts w:ascii="Arial" w:hAnsi="Arial" w:cs="Arial"/>
        </w:rPr>
        <w:t xml:space="preserve"> para regularização do mesmo. A retirada do produto é por conta da Contratada.</w:t>
      </w:r>
    </w:p>
    <w:p>
      <w:pPr>
        <w:spacing w:after="120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A entrega dos produtos será </w:t>
      </w:r>
      <w:r>
        <w:rPr>
          <w:rFonts w:hint="default" w:ascii="Arial" w:hAnsi="Arial" w:cs="Arial"/>
          <w:lang w:val="pt-BR"/>
        </w:rPr>
        <w:t>de forma integral.</w:t>
      </w:r>
    </w:p>
    <w:p>
      <w:pPr>
        <w:spacing w:after="120"/>
        <w:jc w:val="both"/>
        <w:rPr>
          <w:rFonts w:hint="default" w:ascii="Arial" w:hAnsi="Arial" w:cs="Arial"/>
          <w:lang w:val="pt-BR"/>
        </w:rPr>
      </w:pPr>
    </w:p>
    <w:p>
      <w:pPr>
        <w:pStyle w:val="18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Fiscalização do Contrato</w:t>
      </w:r>
      <w:r>
        <w:rPr>
          <w:rFonts w:hint="default" w:ascii="Arial" w:hAnsi="Arial" w:cs="Arial"/>
          <w:b/>
          <w:lang w:val="pt-BR"/>
        </w:rPr>
        <w:t>:</w:t>
      </w:r>
    </w:p>
    <w:p>
      <w:pPr>
        <w:pStyle w:val="18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CONTROLE, AVALIAÇÃO, VISTORIA E FISCALIZAÇÃO,</w:t>
      </w:r>
      <w:r>
        <w:rPr>
          <w:rFonts w:hint="default" w:ascii="Arial" w:hAnsi="Arial" w:cs="Arial"/>
          <w:sz w:val="24"/>
          <w:szCs w:val="24"/>
          <w:lang w:val="pt-BR"/>
        </w:rPr>
        <w:t xml:space="preserve"> 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ob a responsabilidade de realizar o recebimento, a contagem dos materiais entregues, a verificação de avaria ou produtos vencidos, a comparação de mercadorias recebidas com a descrição na Autorização de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C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ompras a fim de perceber possíveis inconsistências nos itens recebidos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,</w:t>
      </w:r>
      <w:r>
        <w:rPr>
          <w:rFonts w:hint="default" w:ascii="Arial" w:hAnsi="Arial" w:eastAsia="SimSun" w:cs="Arial"/>
          <w:i w:val="0"/>
          <w:iCs w:val="0"/>
          <w:caps w:val="0"/>
          <w:color w:val="2C363A"/>
          <w:spacing w:val="0"/>
          <w:sz w:val="24"/>
          <w:szCs w:val="24"/>
          <w:shd w:val="clear" w:fill="FFFFFF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ficará a cargo do fiscal do contrato, 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 exigir informações adicionais que julgue necessário desde que a solicitação seja feita por escrito.</w:t>
      </w:r>
    </w:p>
    <w:p>
      <w:pPr>
        <w:pStyle w:val="18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</w:rPr>
        <w:t>iscal: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</w:tcPr>
          <w:p>
            <w:pPr>
              <w:pStyle w:val="18"/>
              <w:spacing w:after="120" w:line="240" w:lineRule="auto"/>
              <w:jc w:val="both"/>
              <w:rPr>
                <w:rFonts w:hint="default" w:ascii="Arial" w:hAnsi="Arial" w:cs="Arial"/>
                <w:b/>
                <w:color w:val="auto"/>
                <w:shd w:val="clear" w:color="auto" w:fill="auto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color w:val="auto"/>
                <w:shd w:val="clear" w:color="auto" w:fill="auto"/>
                <w:vertAlign w:val="baseline"/>
                <w:lang w:val="pt-BR"/>
              </w:rPr>
              <w:t>NOME</w:t>
            </w:r>
          </w:p>
        </w:tc>
        <w:tc>
          <w:tcPr>
            <w:tcW w:w="2180" w:type="dxa"/>
          </w:tcPr>
          <w:p>
            <w:pPr>
              <w:pStyle w:val="18"/>
              <w:spacing w:after="120" w:line="240" w:lineRule="auto"/>
              <w:jc w:val="both"/>
              <w:rPr>
                <w:rFonts w:hint="default" w:ascii="Arial" w:hAnsi="Arial" w:cs="Arial"/>
                <w:b/>
                <w:color w:val="auto"/>
                <w:shd w:val="clear" w:color="auto" w:fill="auto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color w:val="auto"/>
                <w:shd w:val="clear" w:color="auto" w:fill="auto"/>
                <w:vertAlign w:val="baseline"/>
                <w:lang w:val="pt-BR"/>
              </w:rPr>
              <w:t>MASP</w:t>
            </w:r>
          </w:p>
        </w:tc>
        <w:tc>
          <w:tcPr>
            <w:tcW w:w="2180" w:type="dxa"/>
          </w:tcPr>
          <w:p>
            <w:pPr>
              <w:pStyle w:val="18"/>
              <w:spacing w:after="120" w:line="240" w:lineRule="auto"/>
              <w:jc w:val="both"/>
              <w:rPr>
                <w:rFonts w:hint="default" w:ascii="Arial" w:hAnsi="Arial" w:cs="Arial"/>
                <w:b/>
                <w:color w:val="auto"/>
                <w:shd w:val="clear" w:color="auto" w:fill="auto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color w:val="auto"/>
                <w:shd w:val="clear" w:color="auto" w:fill="auto"/>
                <w:vertAlign w:val="baseline"/>
                <w:lang w:val="pt-BR"/>
              </w:rPr>
              <w:t>TELEFONE</w:t>
            </w:r>
          </w:p>
        </w:tc>
        <w:tc>
          <w:tcPr>
            <w:tcW w:w="2180" w:type="dxa"/>
          </w:tcPr>
          <w:p>
            <w:pPr>
              <w:pStyle w:val="18"/>
              <w:spacing w:after="120" w:line="240" w:lineRule="auto"/>
              <w:jc w:val="both"/>
              <w:rPr>
                <w:rFonts w:hint="default" w:ascii="Arial" w:hAnsi="Arial" w:cs="Arial"/>
                <w:b/>
                <w:color w:val="auto"/>
                <w:shd w:val="clear" w:color="auto" w:fill="auto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color w:val="auto"/>
                <w:shd w:val="clear" w:color="auto" w:fill="auto"/>
                <w:vertAlign w:val="baseline"/>
                <w:lang w:val="pt-BR"/>
              </w:rPr>
              <w:t>HORÁRIO DE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pStyle w:val="18"/>
              <w:spacing w:after="120" w:line="240" w:lineRule="auto"/>
              <w:jc w:val="center"/>
              <w:rPr>
                <w:rFonts w:hint="default" w:ascii="Arial" w:hAnsi="Arial" w:cs="Arial"/>
                <w:b w:val="0"/>
                <w:bCs/>
                <w:color w:val="auto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vertAlign w:val="baseline"/>
                <w:lang w:val="pt-BR"/>
              </w:rPr>
              <w:t>Eriane Teixeira Carvalho</w:t>
            </w:r>
          </w:p>
        </w:tc>
        <w:tc>
          <w:tcPr>
            <w:tcW w:w="2180" w:type="dxa"/>
            <w:vAlign w:val="center"/>
          </w:tcPr>
          <w:p>
            <w:pPr>
              <w:pStyle w:val="18"/>
              <w:spacing w:after="120" w:line="240" w:lineRule="auto"/>
              <w:jc w:val="center"/>
              <w:rPr>
                <w:rFonts w:hint="default" w:ascii="Arial" w:hAnsi="Arial" w:cs="Arial"/>
                <w:b w:val="0"/>
                <w:bCs/>
                <w:color w:val="auto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vertAlign w:val="baseline"/>
                <w:lang w:val="pt-BR"/>
              </w:rPr>
              <w:t>50652</w:t>
            </w:r>
          </w:p>
        </w:tc>
        <w:tc>
          <w:tcPr>
            <w:tcW w:w="2180" w:type="dxa"/>
            <w:vAlign w:val="center"/>
          </w:tcPr>
          <w:p>
            <w:pPr>
              <w:pStyle w:val="18"/>
              <w:spacing w:after="120" w:line="240" w:lineRule="auto"/>
              <w:jc w:val="center"/>
              <w:rPr>
                <w:rFonts w:hint="default" w:ascii="Arial" w:hAnsi="Arial" w:cs="Arial"/>
                <w:b w:val="0"/>
                <w:bCs/>
                <w:color w:val="auto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vertAlign w:val="baseline"/>
                <w:lang w:val="pt-BR"/>
              </w:rPr>
              <w:t>3733514113</w:t>
            </w:r>
          </w:p>
        </w:tc>
        <w:tc>
          <w:tcPr>
            <w:tcW w:w="2180" w:type="dxa"/>
            <w:vAlign w:val="center"/>
          </w:tcPr>
          <w:p>
            <w:pPr>
              <w:pStyle w:val="18"/>
              <w:spacing w:after="120" w:line="240" w:lineRule="auto"/>
              <w:jc w:val="center"/>
              <w:rPr>
                <w:rFonts w:hint="default" w:ascii="Arial" w:hAnsi="Arial" w:cs="Arial"/>
                <w:b w:val="0"/>
                <w:bCs/>
                <w:color w:val="auto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vertAlign w:val="baseline"/>
                <w:lang w:val="pt-BR"/>
              </w:rPr>
              <w:t>8h às 17h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de Pagamento:</w:t>
      </w:r>
    </w:p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120"/>
        <w:jc w:val="both"/>
        <w:rPr>
          <w:rFonts w:hint="default" w:ascii="Arial" w:hAnsi="Arial" w:cs="Arial"/>
          <w:color w:val="FF0000"/>
          <w:lang w:val="pt-BR"/>
        </w:rPr>
      </w:pPr>
      <w:r>
        <w:rPr>
          <w:rFonts w:ascii="Arial" w:hAnsi="Arial" w:cs="Arial"/>
        </w:rPr>
        <w:t>O CONTRATANTE realizará o pagamento no prazo de 30 (trinta) dias, contado da prestação do serviço</w:t>
      </w:r>
      <w:r>
        <w:rPr>
          <w:rFonts w:hint="default" w:ascii="Arial" w:hAnsi="Arial" w:cs="Arial"/>
          <w:lang w:val="pt-BR"/>
        </w:rPr>
        <w:t>/ entrega de produtos</w:t>
      </w:r>
      <w:r>
        <w:rPr>
          <w:rFonts w:ascii="Arial" w:hAnsi="Arial" w:cs="Arial"/>
        </w:rPr>
        <w:t xml:space="preserve"> e da apresentação do documento fiscal correspondente, acompanhado da respectiva ordem de execução de serviço</w:t>
      </w:r>
      <w:r>
        <w:rPr>
          <w:rFonts w:hint="default" w:ascii="Arial" w:hAnsi="Arial" w:cs="Arial"/>
          <w:lang w:val="pt-BR"/>
        </w:rPr>
        <w:t>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efetuado qualquer pagamento à contratada, em caso de descumprimento das condições de habilitação e qualificação exigidas na licitação.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vedada a realização de pagamento antes da execução do serviço</w:t>
      </w:r>
      <w:r>
        <w:rPr>
          <w:rFonts w:hint="default" w:ascii="Arial" w:hAnsi="Arial" w:cs="Arial"/>
          <w:lang w:val="pt-BR"/>
        </w:rPr>
        <w:t>/ entrega do produto</w:t>
      </w:r>
      <w:r>
        <w:rPr>
          <w:rFonts w:ascii="Arial" w:hAnsi="Arial" w:cs="Arial"/>
        </w:rPr>
        <w:t xml:space="preserve"> se o mesmo não estiver de acordo com as especificações deste instrumento.</w:t>
      </w: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encontram-se ainda condicionados à apresentação das seguintes comprovações dos documentos:Documentação relativa à regularidade para com a Seguridade Social (INSS), Fundo de Garantia por Tempo de Serviço (FGTS), Trabalhista e Fazendas Federal, Estadual e Municipal e Certidão Negativa do Contribuinte Municipal.</w:t>
      </w:r>
    </w:p>
    <w:p>
      <w:pPr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Condições Gerais:</w:t>
      </w: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de total responsabilidade da empresa vencedora, durante a execução do contrato, informar com antecedência a administração pública qualquer alteração na situação cadastral (mudança de CNPJ e/ou alteração na Razão Social) da empresa, sob pena de suspensão dos créditos devidos até a regularização dos dados cadastrais.</w:t>
      </w:r>
    </w:p>
    <w:p>
      <w:pPr>
        <w:spacing w:after="120"/>
        <w:jc w:val="both"/>
        <w:rPr>
          <w:color w:val="auto"/>
        </w:rPr>
      </w:pPr>
      <w:r>
        <w:rPr>
          <w:rFonts w:ascii="Arial" w:hAnsi="Arial" w:cs="Arial"/>
        </w:rPr>
        <w:t>Reserva-se o direito da Contratante em não aceitar o serviço em desacordo com o previsto neste Termo de Referência ou em desconformidade com as normas legais ou técnicas pertinentes ao seu objeto, podendo rescindir a contratação prevista no</w:t>
      </w:r>
      <w:r>
        <w:rPr>
          <w:rFonts w:hint="default" w:ascii="Arial" w:hAnsi="Arial" w:cs="Arial"/>
          <w:lang w:val="pt-BR"/>
        </w:rPr>
        <w:t>s</w:t>
      </w:r>
      <w:r>
        <w:rPr>
          <w:rFonts w:ascii="Verdana" w:hAnsi="Verdana" w:eastAsia="SimSun" w:cs="Verdan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artigos  137 a 139 da Lei 14.133/2021.</w:t>
      </w:r>
    </w:p>
    <w:p>
      <w:pPr>
        <w:spacing w:after="120"/>
        <w:jc w:val="both"/>
        <w:rPr>
          <w:rFonts w:hint="default" w:ascii="Arial" w:hAnsi="Arial" w:cs="Arial"/>
          <w:highlight w:val="yellow"/>
          <w:lang w:val="pt-BR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secretaria assume a responsabilidade exclusiva pelas especificação dos materiais/serviços, não sendo atribuída à Pregoeira, equipe de apoio e Departamento de licitações, quaisquer culpabilidades neste sentido.</w:t>
      </w:r>
    </w:p>
    <w:p>
      <w:pPr>
        <w:pStyle w:val="12"/>
        <w:rPr>
          <w:rFonts w:ascii="Arial" w:hAnsi="Arial" w:cs="Arial"/>
        </w:rPr>
      </w:pPr>
    </w:p>
    <w:p>
      <w:pPr>
        <w:pStyle w:val="12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Arcos, </w:t>
      </w:r>
      <w:r>
        <w:rPr>
          <w:rFonts w:hint="default" w:ascii="Arial" w:hAnsi="Arial" w:cs="Arial"/>
          <w:lang w:val="pt-BR"/>
        </w:rPr>
        <w:t>12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pt-BR"/>
        </w:rPr>
        <w:t>Abril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pt-BR"/>
        </w:rPr>
        <w:t>2023</w:t>
      </w:r>
    </w:p>
    <w:p>
      <w:pPr>
        <w:spacing w:after="120"/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  <w:b/>
        </w:rPr>
        <w:t>Concordância com o Termo de Referência</w:t>
      </w:r>
      <w:r>
        <w:rPr>
          <w:rFonts w:hint="default" w:ascii="Arial" w:hAnsi="Arial" w:cs="Arial"/>
          <w:b/>
          <w:lang w:val="pt-BR"/>
        </w:rPr>
        <w:t>.</w:t>
      </w:r>
    </w:p>
    <w:p>
      <w:pPr>
        <w:spacing w:after="120"/>
        <w:jc w:val="both"/>
        <w:rPr>
          <w:rFonts w:ascii="Arial" w:hAnsi="Arial" w:cs="Arial"/>
          <w:b/>
        </w:rPr>
      </w:pPr>
    </w:p>
    <w:p/>
    <w:p/>
    <w:p/>
    <w:p>
      <w:pPr>
        <w:ind w:right="823" w:rightChars="343"/>
        <w:jc w:val="center"/>
        <w:rPr>
          <w:rFonts w:hint="default"/>
          <w:lang w:val="pt-BR"/>
        </w:rPr>
      </w:pPr>
    </w:p>
    <w:p>
      <w:pPr>
        <w:ind w:right="823" w:rightChars="343"/>
        <w:jc w:val="center"/>
        <w:rPr>
          <w:rFonts w:hint="default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133350</wp:posOffset>
                </wp:positionV>
                <wp:extent cx="2537460" cy="635"/>
                <wp:effectExtent l="0" t="0" r="0" b="0"/>
                <wp:wrapNone/>
                <wp:docPr id="1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53870" y="3035935"/>
                          <a:ext cx="25374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95.35pt;margin-top:10.5pt;height:0.05pt;width:199.8pt;z-index:251659264;mso-width-relative:page;mso-height-relative:page;" filled="f" stroked="t" coordsize="21600,21600" o:gfxdata="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Vx&#10;lGfWAAAACQEAAA8AAAAAAAAAAQAgAAAAIgAAAGRycy9kb3ducmV2LnhtbFBLAQIUABQAAAAIAIdO&#10;4kA+hKUI7AEAAOg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right="823" w:rightChars="343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Sérgio José Veloso</w:t>
      </w:r>
    </w:p>
    <w:p>
      <w:pPr>
        <w:spacing w:line="360" w:lineRule="auto"/>
        <w:ind w:right="823" w:rightChars="343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MASP: 6601/0</w:t>
      </w:r>
    </w:p>
    <w:p>
      <w:pPr>
        <w:spacing w:line="360" w:lineRule="auto"/>
        <w:ind w:right="823" w:rightChars="343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Secretaria Municipal de Desenvolvimento e Integração Social</w:t>
      </w:r>
    </w:p>
    <w:sectPr>
      <w:headerReference r:id="rId3" w:type="default"/>
      <w:footerReference r:id="rId5" w:type="default"/>
      <w:headerReference r:id="rId4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9310"/>
    </w:sdtPr>
    <w:sdtContent>
      <w:p>
        <w:pPr>
          <w:pStyle w:val="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13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0"/>
      </w:rPr>
    </w:pPr>
  </w:p>
  <w:p>
    <w:pPr>
      <w:pStyle w:val="12"/>
      <w:ind w:right="360"/>
    </w:pPr>
    <w:r>
      <w:rPr>
        <w:sz w:val="20"/>
      </w:rPr>
      <w:pict>
        <v:shape id="_x0000_s4097" o:spid="_x0000_s4097" o:spt="75" type="#_x0000_t75" style="position:absolute;left:0pt;margin-left:78.75pt;margin-top:0.55pt;height:50.7pt;width:293.85pt;mso-wrap-distance-bottom:0pt;mso-wrap-distance-top:0pt;z-index:251660288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topAndBottom"/>
        </v:shape>
        <o:OLEObject Type="Embed" ProgID="CorelDRAW.Graphic.10" ShapeID="_x0000_s4097" DrawAspect="Content" ObjectID="_1468075725" r:id="rId1">
          <o:LockedField>false</o:LockedField>
        </o:OLEObject>
      </w:pic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2"/>
      <w:ind w:right="360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C0"/>
    <w:rsid w:val="00044A3A"/>
    <w:rsid w:val="000562E8"/>
    <w:rsid w:val="000D7EC7"/>
    <w:rsid w:val="001216E2"/>
    <w:rsid w:val="00200D76"/>
    <w:rsid w:val="002C4343"/>
    <w:rsid w:val="004002D6"/>
    <w:rsid w:val="004429DE"/>
    <w:rsid w:val="004817FE"/>
    <w:rsid w:val="00486E3A"/>
    <w:rsid w:val="00497FA3"/>
    <w:rsid w:val="004C2C90"/>
    <w:rsid w:val="004E5F88"/>
    <w:rsid w:val="004F408A"/>
    <w:rsid w:val="005A6450"/>
    <w:rsid w:val="006018C7"/>
    <w:rsid w:val="0061227A"/>
    <w:rsid w:val="00650718"/>
    <w:rsid w:val="006B36CA"/>
    <w:rsid w:val="007D2A4C"/>
    <w:rsid w:val="007E5469"/>
    <w:rsid w:val="00862011"/>
    <w:rsid w:val="00897559"/>
    <w:rsid w:val="00984DAC"/>
    <w:rsid w:val="009E5BEA"/>
    <w:rsid w:val="00A270C0"/>
    <w:rsid w:val="00A469A9"/>
    <w:rsid w:val="00AE217E"/>
    <w:rsid w:val="00B00F63"/>
    <w:rsid w:val="00C530F4"/>
    <w:rsid w:val="00CD344A"/>
    <w:rsid w:val="00CD4A41"/>
    <w:rsid w:val="00D3522E"/>
    <w:rsid w:val="00EA5644"/>
    <w:rsid w:val="00EC6318"/>
    <w:rsid w:val="00F80439"/>
    <w:rsid w:val="00FC28BF"/>
    <w:rsid w:val="12CB7AAE"/>
    <w:rsid w:val="13CB4A09"/>
    <w:rsid w:val="14C6775D"/>
    <w:rsid w:val="14FF063E"/>
    <w:rsid w:val="19AC1457"/>
    <w:rsid w:val="23F44DDA"/>
    <w:rsid w:val="27442A1C"/>
    <w:rsid w:val="275346A0"/>
    <w:rsid w:val="2907112F"/>
    <w:rsid w:val="30B21F41"/>
    <w:rsid w:val="36DE1FD3"/>
    <w:rsid w:val="48A40EDC"/>
    <w:rsid w:val="57F91511"/>
    <w:rsid w:val="69E53D23"/>
    <w:rsid w:val="6EE43A25"/>
    <w:rsid w:val="71224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uppressAutoHyphen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4">
    <w:name w:val="heading 6"/>
    <w:basedOn w:val="1"/>
    <w:next w:val="1"/>
    <w:link w:val="16"/>
    <w:qFormat/>
    <w:uiPriority w:val="0"/>
    <w:pPr>
      <w:keepNext/>
      <w:jc w:val="center"/>
      <w:outlineLvl w:val="5"/>
    </w:pPr>
    <w:rPr>
      <w:rFonts w:ascii="Arial" w:hAnsi="Arial" w:cs="Arial"/>
      <w:bCs/>
      <w:sz w:val="44"/>
    </w:rPr>
  </w:style>
  <w:style w:type="paragraph" w:styleId="5">
    <w:name w:val="heading 7"/>
    <w:basedOn w:val="1"/>
    <w:next w:val="1"/>
    <w:link w:val="17"/>
    <w:qFormat/>
    <w:uiPriority w:val="0"/>
    <w:pPr>
      <w:outlineLvl w:val="6"/>
    </w:pPr>
    <w:rPr>
      <w:sz w:val="28"/>
      <w:szCs w:val="20"/>
      <w:lang w:val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6"/>
    <w:qFormat/>
    <w:uiPriority w:val="22"/>
    <w:rPr>
      <w:b/>
      <w:bCs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10">
    <w:name w:val="page number"/>
    <w:basedOn w:val="6"/>
    <w:qFormat/>
    <w:uiPriority w:val="0"/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</w:pPr>
    <w:rPr>
      <w:rFonts w:hint="eastAsia" w:ascii="Arial Unicode MS" w:hAnsi="Arial Unicode MS" w:eastAsia="Arial Unicode MS" w:cs="Arial Unicode MS"/>
    </w:rPr>
  </w:style>
  <w:style w:type="paragraph" w:styleId="12">
    <w:name w:val="head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table" w:styleId="14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Título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pt-BR"/>
    </w:rPr>
  </w:style>
  <w:style w:type="character" w:customStyle="1" w:styleId="16">
    <w:name w:val="Título 6 Char"/>
    <w:basedOn w:val="6"/>
    <w:link w:val="4"/>
    <w:qFormat/>
    <w:uiPriority w:val="0"/>
    <w:rPr>
      <w:rFonts w:ascii="Arial" w:hAnsi="Arial" w:eastAsia="Times New Roman" w:cs="Arial"/>
      <w:bCs/>
      <w:sz w:val="44"/>
      <w:szCs w:val="24"/>
      <w:lang w:eastAsia="pt-BR"/>
    </w:rPr>
  </w:style>
  <w:style w:type="character" w:customStyle="1" w:styleId="17">
    <w:name w:val="Título 7 Char"/>
    <w:basedOn w:val="6"/>
    <w:link w:val="5"/>
    <w:qFormat/>
    <w:uiPriority w:val="0"/>
    <w:rPr>
      <w:rFonts w:ascii="Times New Roman" w:hAnsi="Times New Roman" w:eastAsia="Times New Roman" w:cs="Times New Roman"/>
      <w:sz w:val="28"/>
      <w:szCs w:val="20"/>
      <w:lang w:val="en-US" w:eastAsia="pt-BR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Book Antiqua" w:hAnsi="Book Antiqua" w:eastAsia="Times New Roman" w:cs="Book Antiqua"/>
      <w:color w:val="000000"/>
      <w:sz w:val="24"/>
      <w:szCs w:val="24"/>
      <w:lang w:val="pt-BR" w:eastAsia="pt-BR" w:bidi="ar-SA"/>
    </w:rPr>
  </w:style>
  <w:style w:type="character" w:customStyle="1" w:styleId="19">
    <w:name w:val="Cabeçalho Char"/>
    <w:basedOn w:val="6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0">
    <w:name w:val="Rodapé Char"/>
    <w:basedOn w:val="6"/>
    <w:link w:val="1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7B565-E4A0-450F-AE45-A473C20DB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867</Words>
  <Characters>4685</Characters>
  <Lines>39</Lines>
  <Paragraphs>11</Paragraphs>
  <TotalTime>296</TotalTime>
  <ScaleCrop>false</ScaleCrop>
  <LinksUpToDate>false</LinksUpToDate>
  <CharactersWithSpaces>5541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2021-11-05T13:00:00Z</dcterms:created>
  <dc:creator>Helen Cristina Batista</dc:creator>
  <cp:lastModifiedBy>Kcamargo</cp:lastModifiedBy>
  <cp:lastPrinted>2023-04-26T17:32:08Z</cp:lastPrinted>
  <dcterms:modified xsi:type="dcterms:W3CDTF">2023-04-26T17:45:37Z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1A3B1BC818CA4D65A36A62AA03368051</vt:lpwstr>
  </property>
</Properties>
</file>