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Credenciamento e celebração de TERMO DE COOPERAÇÃO TÉCNICA de Instituições de Ensino Superior pública e privada, visando o estabelecimento de parceria para oferta de estágio curricular não remunerado, obrigatório nas instalações da Prefeitura Municipal de Arcos – MG, mediante processo seletivo dos alunos de cursos regulares de nível superior dessas instituições, com base na Lei Federal - 11.788/2008 e lei municipal 2.216/2009 e leis complementares 2.230/2009, 2.234/2009 e 2.749/2015.</w:t>
      </w: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 DA CONTRATAÇÃO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demanda se faz em razão do interesse da Administração Pública celebrar termos de cooperação técnica que visem a realização de estágios obrigatórios, não remunerados de estudantes, nos órgãos integrantes da Administração Municipal Direta e Indireta. Tal demanda se mostra necessária quando observados os princípios basilares que alicerçam o Poder Executivo. Assim sendo, busca-se por meio dessa tratativa o observância da Lei Federal nº. 11.788, de 25 de setembro de 2008, que dispõe sobre os estágios de estudantes, bem como a igualdade de tratamento entre as instituições e o fornecimento de serviços de modo unânime e igualitário.</w:t>
      </w: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VAGAS PARA ESTÁGIO</w:t>
      </w: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Serão ofertadas 60 vagas, para Estágio Curricular obrigatorio para o ano de 202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4 e 2025</w:t>
      </w:r>
      <w:r>
        <w:rPr>
          <w:rFonts w:ascii="Arial" w:hAnsi="Arial" w:cs="Arial"/>
          <w:color w:val="FF0000"/>
          <w:sz w:val="24"/>
          <w:szCs w:val="24"/>
        </w:rPr>
        <w:t>, para os alunos de cursos regulares de nível superior em diversas áreas do Município de Arcos conforme quadro abaixo discriminado:</w:t>
      </w:r>
    </w:p>
    <w:tbl>
      <w:tblPr>
        <w:tblStyle w:val="3"/>
        <w:tblW w:w="8531" w:type="dxa"/>
        <w:tblInd w:w="55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2011"/>
        <w:gridCol w:w="4241"/>
        <w:gridCol w:w="1287"/>
        <w:gridCol w:w="99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0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 xml:space="preserve">ÁREA </w:t>
            </w:r>
          </w:p>
        </w:tc>
        <w:tc>
          <w:tcPr>
            <w:tcW w:w="4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 xml:space="preserve">GRADUAÇÃO </w:t>
            </w:r>
          </w:p>
        </w:tc>
        <w:tc>
          <w:tcPr>
            <w:tcW w:w="12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CARGA HORÁRIA SEMANAL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VAGAS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ORIENTAÇÃO SOCIAL</w:t>
            </w:r>
          </w:p>
        </w:tc>
        <w:tc>
          <w:tcPr>
            <w:tcW w:w="4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Serviço Social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 xml:space="preserve">30 hrs.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3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15" w:hRule="atLeast"/>
        </w:trPr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ADMINISTRATIVO</w:t>
            </w:r>
          </w:p>
        </w:tc>
        <w:tc>
          <w:tcPr>
            <w:tcW w:w="4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Administração, Contabilidade, Logística, Marketing, Recursos Humanos, Direito, Engenharia de Produção, Engenharia civil, Engenharia Ambiental, Arquitetura, Ciência da computação, Sistema de Informação.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 xml:space="preserve">30 hrs.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27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ESCOLAR EDUCAÇÃO INFANTIL</w:t>
            </w:r>
          </w:p>
        </w:tc>
        <w:tc>
          <w:tcPr>
            <w:tcW w:w="4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Pedagogia e Educação Especial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 xml:space="preserve">30 hrs.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20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20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ESCOLAR EDUCAÇÃO BÁSICA</w:t>
            </w:r>
          </w:p>
        </w:tc>
        <w:tc>
          <w:tcPr>
            <w:tcW w:w="4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Pedagogia e Educação Especial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20 hrs.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FF0000"/>
                <w:lang w:eastAsia="pt-BR"/>
              </w:rPr>
            </w:pPr>
            <w:r>
              <w:rPr>
                <w:rFonts w:ascii="Arial" w:hAnsi="Arial" w:eastAsia="Times New Roman" w:cs="Arial"/>
                <w:color w:val="FF0000"/>
                <w:lang w:eastAsia="pt-BR"/>
              </w:rPr>
              <w:t>10</w:t>
            </w:r>
          </w:p>
        </w:tc>
      </w:tr>
    </w:tbl>
    <w:p>
      <w:pPr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EXECUÇÃO E VIGÊNCIA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Poderão participar do presente credenciamento instituições de ensino superior, públicas e privadas que desenvolvam atividades em território nacional.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formalização do credenciamento se dará por meio da assinatura do Termo de Cooperação Técnica, entre a Instituição de Ensino Superior e Prefeitura Municipal de Arcos - MG;</w:t>
      </w:r>
    </w:p>
    <w:p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formalização do estágio não remunerado será efetivada através da assinatura de Termo de Compromisso de Estágio – TCE, firmado entre o estagiário e a CONCEDENTE, com interveniência obrigatória do representante da INSTITUIÇÃO DE ENSINO.  O Termo de Compromisso de Estágio – TCE deverá ser instruído ao Plano de Atividades do Estagiário e homologado pela Instituição de Ensino quanto à adequação das respectivas condições à proposta pedagógica do curso. O Termo de Compromisso de Estágio – TCE conterá informações sobre o local de realização do estágio, duração, período de ocorrência, data de início e término, programa e </w:t>
      </w:r>
      <w:r>
        <w:rPr>
          <w:rFonts w:ascii="Arial" w:hAnsi="Arial" w:cs="Arial"/>
          <w:color w:val="FF0000"/>
          <w:sz w:val="24"/>
          <w:szCs w:val="24"/>
        </w:rPr>
        <w:t>carga horária, nome da seguradora, número da apólice e valor do seguro. O seguro é de responsabilidade da entidade credenciada.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fill="FFFF00"/>
        </w:rPr>
        <w:t>A vigência do Termo de Cooperação Técnica será por um período de 12 meses, prorrogáveis na forma da lei 14.133/21.</w:t>
      </w:r>
      <w:r>
        <w:rPr>
          <w:rFonts w:ascii="Arial" w:hAnsi="Arial" w:cs="Arial"/>
          <w:sz w:val="24"/>
          <w:szCs w:val="24"/>
        </w:rPr>
        <w:t xml:space="preserve"> Durante a vigência do Termo de Cooperação, os alunos da Instituição 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Superior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poderão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seletivos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estagiários,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concorrendo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às vagas 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respectivo ano.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duração do estágio por estudante, não poderá exceder 2 (dois) anos, exceto quando se tratar de estagiário portador de deficiência. 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DOCUMENTAÇÃO PARA HABILITAÇÃO</w:t>
      </w:r>
    </w:p>
    <w:p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instituições interessadas em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participar do presente credenciamento, deverão apresentar os seguintes documentos: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HABILITAÇÃO JURÍDICA;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Cédula de identidade e/ou registro comercial;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 constitutivo, estatuto ou contrato social em vigor, devidamente registrado, em se tratando de sociedades empresárias, e, no caso de sociedade por ações, acompanhado de documentos de eleição e posse de seus administradores; (art.983 do Código Civil)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do contrato social no Registro Civil das Pessoas Jurídicas, no caso de sociedades simples, com indicação das pessoas naturais incumbidas da administração da sociedade, seus poderes e atribuições;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Decreto de autorização, em se tratando de empresa ou sociedade estrangeira em funcionamento no País e ato de registro ou autorização para funcionamento, expedido pelo órgão competente, quando a atividade assim o exigir.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REGULARIDADE FISCAL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inscrição no Cadastro Nacional de Pessoas Jurídicas (CNPJ); prazo de validade 90 dias.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inscrição no Cadastro de Contribuintes Estadual ou do Distrito Federal ou Municipal, se houver relativo à sede da licitante, pertinente ao seu ramo de atividade e compatível como objeto desta licitação; Esta inscrição poderá estar no CND estadual, municipal ou alvará de localização e funcionamento.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Prova de regularidade para com a Fazenda Nacional, Estadual e Municipal, ou o Distrito Federal, compreendendo os seguintes documentos: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Conjunta Negativa de Débitos relativos a Tributos Federais e à Dívida Ativa da União, ou Certidão Conjunta Positiva com efeito negativo, expedida pela Secretaria da Receita Federal do Brasil (RFB) e Procuradoria -  Geral da Fazenda Nacional (PGFN), da sede da licitante;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Tributos Estaduais ou Certidão Positiva com efeito negativo, expedida pela Fazenda Estadual, da sede da licitante ou Certidão de Não Contribuinte;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Tributos Municipais ou Certidão Positiva com efeito negativo, expedida pela Fazenda Municipal, da sede da licitante, ou Certidão de Não Contribuinte;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Certificado de Regularidade de Situação do Fundo de Garantia do Tempo de Serviço – CRF, da sede da licitante.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REGULARIDADE TRABALHISTA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Negativa de Débitos Trabalhistas ou Certidão Positiva de Débitos com efeito negativo, expedida pelo Tribunal Superior do Trabalho (TST).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DOCUMENTOS COMPLEMENTARES: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Atos de autorização de credenciamento da instituição e dos cursos ofertados junto ao Ministério da Educação (MEC);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>
        <w:rPr>
          <w:rFonts w:ascii="Arial" w:hAnsi="Arial" w:cs="Arial"/>
          <w:sz w:val="24"/>
          <w:szCs w:val="24"/>
          <w:lang w:val="pt-BR"/>
        </w:rPr>
        <w:t>Assembleia</w:t>
      </w:r>
      <w:r>
        <w:rPr>
          <w:rFonts w:ascii="Arial" w:hAnsi="Arial" w:cs="Arial"/>
          <w:sz w:val="24"/>
          <w:szCs w:val="24"/>
        </w:rPr>
        <w:t xml:space="preserve"> que elegeu a última diretoria;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Declaração, que a Instituição não possui no quadro de pessoal, empregados menores de 18 (dezoito) anos em trabalho noturno, perigoso ou insalubre, e de menores de 16 (dezesseis) anos em qualquer trabalho, salvo na condição de aprendizes, a partir de 14 (quatorze) anos, nos termos do inciso XXXIII do art.7º da Constituição Federal (Emenda Constitucional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nº20, de 1998).</w:t>
      </w:r>
    </w:p>
    <w:p>
      <w:pPr>
        <w:pStyle w:val="10"/>
        <w:numPr>
          <w:ilvl w:val="2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Habilitação de professores/orientadores de estágio e coordenadores pedagógicos; (Requisitada durante a celebração do Termo de Cooperação).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FORMA, LOCAL E PRAZO PARA ENTREGA DOS DOCUMENTOS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credenciamento permanecerá aberto a qualquer instituição que preencha os requisitos exigidos neste termo de referencia, e, poderá apresentar a documentação exigida, sendo para isso agendada nova data para abertura dos documentos novos apresentados, neste caso o horário para entrega dos envelopes será 12:00 as 18:00 horas no Departamento de Licitações. Caso seja habilitado o novo credenciado iniciará suas atividades somente no primeiro dia do mês subseqüente, após as devidas divisões.</w:t>
      </w: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RESULTADO DO CREDENCIAMENTO E DA CONVOCAÇÃO PARA CELEBRAÇÃO DE TERMO DE COOPERAÇÃO TÉCNICA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resultado do credenciamento será divulgado em até 15 dias, depois de entregue os documentos para credenciamento através do site oficial do Município Arcos - MG e no Diário Oficial dos Municípios de Minas Gerais;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ato de divulgação do resultado, as instituições de ensino credenciadas serão convocadas para celebração do Termo de Cooperação Técnica, no prazo improrrogável de 10 (dez) dias.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insurgência quanto ao resultado do credenciamento, a instituição interessada poderá apresentar recurso, no prazo de 05 (cinco) dias, contados da data da divulgação do resultado, o qual, não havendo retratação por parte da Comissão, será submetido à autoridade competente. O recurso deverá ser encaminhado ao Departamento de Licitação, por meio de protocolo, de segunda à sexta–feira, das 12:00 as 18:00hrs.</w:t>
      </w: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AUSÊNCIA DE DIREITO SUBJETIVO À REALIZAÇÃO DE ESTÁGIOS APÓS O CREDENCIAMENTO E A CELEBRAÇÃO DE TERMO DE COOPERAÇÃO TÉCNICA</w:t>
      </w:r>
      <w:r>
        <w:rPr>
          <w:rFonts w:ascii="Arial" w:hAnsi="Arial" w:cs="Arial"/>
          <w:b/>
          <w:sz w:val="24"/>
          <w:szCs w:val="24"/>
        </w:rPr>
        <w:tab/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celebração de termo de cooperação técnica não gera para os estudantes das instituições de ensino credenciadas direito subjetivo à realização de estágios não remunerados obrigatórios nos órgãos e entidades do Município, uma vez que a realização de estágios é condicionada à conveniência administrativa e à existência de vagas.</w:t>
      </w: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 REQUISITOS PARA A TCE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convocado como estagiário, o interessado deverá: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estudante dos cursos de graduação citados no item 3, estar regularmente matriculado e frequente em Instituições de Ensino devidamente credenciadas ao Município de Arcos;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disponibilidade de 04 (quatro) a 06 (seis) horas diárias, de segunda a sexta-feira (de acordo com as vagas);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 conduta compatível com o exercício das atribuições de estagiário da Prefeitura Municipal de Arcos/MG;</w:t>
      </w:r>
    </w:p>
    <w:p>
      <w:pPr>
        <w:pStyle w:val="10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(a) aluno (a) deverá apresentar-se na Prefeitura Municipal de Arcos/MG, na Rua Getúlio Vargas, n°. 228, Centro de Arcos/MG, onde receberá a lista de documentos necessários para a formalização do Termo de Compromisso e Plano de Estágio, a serem assinados pela instituição de ensino, pelo supervisor do estágio e pelo próprio acadêmico.</w:t>
      </w:r>
    </w:p>
    <w:p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CARGA HORARIA</w:t>
      </w:r>
    </w:p>
    <w:p>
      <w:pPr>
        <w:pStyle w:val="10"/>
        <w:rPr>
          <w:rFonts w:ascii="Arial" w:hAnsi="Arial" w:cs="Arial"/>
          <w:b/>
          <w:sz w:val="24"/>
          <w:szCs w:val="24"/>
        </w:rPr>
      </w:pPr>
    </w:p>
    <w:p>
      <w:pPr>
        <w:pStyle w:val="10"/>
        <w:widowControl w:val="0"/>
        <w:numPr>
          <w:ilvl w:val="1"/>
          <w:numId w:val="2"/>
        </w:numPr>
        <w:tabs>
          <w:tab w:val="left" w:pos="2287"/>
        </w:tabs>
        <w:autoSpaceDE w:val="0"/>
        <w:autoSpaceDN w:val="0"/>
        <w:spacing w:after="0" w:line="240" w:lineRule="auto"/>
        <w:ind w:left="1578"/>
        <w:contextualSpacing w:val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-Carga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horária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semanal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30hrs:</w:t>
      </w:r>
    </w:p>
    <w:p>
      <w:pPr>
        <w:pStyle w:val="6"/>
        <w:spacing w:before="197"/>
        <w:ind w:left="1578" w:right="1291"/>
        <w:jc w:val="both"/>
      </w:pPr>
      <w:r>
        <w:t>a) Os (as) candidatos (as) aprovados para as vagas de estágio de ensino superior</w:t>
      </w:r>
      <w:r>
        <w:rPr>
          <w:spacing w:val="1"/>
        </w:rPr>
        <w:t xml:space="preserve"> </w:t>
      </w:r>
      <w:r>
        <w:t>para 06</w:t>
      </w:r>
      <w:r>
        <w:rPr>
          <w:spacing w:val="66"/>
        </w:rPr>
        <w:t xml:space="preserve"> </w:t>
      </w:r>
      <w:r>
        <w:t>horas diárias trabalhadas, sendo</w:t>
      </w:r>
      <w:r>
        <w:rPr>
          <w:spacing w:val="67"/>
        </w:rPr>
        <w:t xml:space="preserve"> </w:t>
      </w:r>
      <w:r>
        <w:t>30hrs semanais, carater gratuito.</w:t>
      </w:r>
    </w:p>
    <w:p>
      <w:pPr>
        <w:pStyle w:val="6"/>
        <w:spacing w:before="2"/>
      </w:pPr>
    </w:p>
    <w:p>
      <w:pPr>
        <w:pStyle w:val="14"/>
        <w:numPr>
          <w:ilvl w:val="1"/>
          <w:numId w:val="2"/>
        </w:numPr>
        <w:tabs>
          <w:tab w:val="left" w:pos="2287"/>
        </w:tabs>
        <w:jc w:val="both"/>
      </w:pPr>
      <w:r>
        <w:t>-</w:t>
      </w:r>
      <w:r>
        <w:rPr>
          <w:spacing w:val="-3"/>
        </w:rPr>
        <w:t xml:space="preserve"> </w:t>
      </w:r>
      <w:r>
        <w:t>Carga horária</w:t>
      </w:r>
      <w:r>
        <w:rPr>
          <w:spacing w:val="-1"/>
        </w:rPr>
        <w:t xml:space="preserve"> </w:t>
      </w:r>
      <w:r>
        <w:t>semanal 20hrs:</w:t>
      </w:r>
    </w:p>
    <w:p>
      <w:pPr>
        <w:pStyle w:val="6"/>
        <w:spacing w:before="197"/>
        <w:ind w:left="1578" w:right="1291"/>
        <w:jc w:val="both"/>
      </w:pPr>
      <w:r>
        <w:t>a) Os (as) candidatos (as) aprovados para as vagas de estágio de ensino superior</w:t>
      </w:r>
      <w:r>
        <w:rPr>
          <w:spacing w:val="1"/>
        </w:rPr>
        <w:t xml:space="preserve"> </w:t>
      </w:r>
      <w:r>
        <w:t>para 04 horas diárias trabalhadas, totalizando 20hrs semanais</w:t>
      </w:r>
      <w:r>
        <w:rPr>
          <w:rFonts w:hint="default"/>
          <w:lang w:val="pt-BR"/>
        </w:rPr>
        <w:t xml:space="preserve">, </w:t>
      </w:r>
      <w:r>
        <w:rPr>
          <w:lang w:val="pt-BR"/>
        </w:rPr>
        <w:t>caráter</w:t>
      </w:r>
      <w:r>
        <w:t xml:space="preserve"> gratuito.</w:t>
      </w:r>
    </w:p>
    <w:p>
      <w:pPr>
        <w:pStyle w:val="6"/>
        <w:rPr>
          <w:sz w:val="20"/>
        </w:rPr>
      </w:pPr>
    </w:p>
    <w:p>
      <w:pPr>
        <w:pStyle w:val="10"/>
        <w:spacing w:line="240" w:lineRule="auto"/>
        <w:ind w:left="885"/>
        <w:jc w:val="both"/>
        <w:rPr>
          <w:rFonts w:ascii="Arial" w:hAnsi="Arial" w:cs="Arial"/>
          <w:b/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CONDIÇÕES GERAIS: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Poderá a Prefeitura Municipal de Arcos, revogar o presente Termo de Credenciamento, no todo ou em parte, por conveniência administrativa e interesse público, ou por fato superveniente, devidamente justificado, ou anulá-lo, em caso de ilegalidade.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revogação ou anulação do presente não gera direito à indenização, ressalvadas as hipóteses descritas na Lei nº </w:t>
      </w:r>
      <w:r>
        <w:rPr>
          <w:rFonts w:hint="default" w:ascii="Arial" w:hAnsi="Arial" w:cs="Arial"/>
          <w:sz w:val="24"/>
          <w:szCs w:val="24"/>
          <w:lang w:val="pt-BR"/>
        </w:rPr>
        <w:t>14.133/21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Estarão impedidas de participar deste Chamamento Público as instituições cujos representantes se enquadrarem no art. </w:t>
      </w:r>
      <w:r>
        <w:rPr>
          <w:rFonts w:hint="default" w:ascii="Arial" w:hAnsi="Arial" w:cs="Arial"/>
          <w:sz w:val="24"/>
          <w:szCs w:val="24"/>
          <w:lang w:val="pt-BR"/>
        </w:rPr>
        <w:t>14</w:t>
      </w:r>
      <w:r>
        <w:rPr>
          <w:rFonts w:ascii="Arial" w:hAnsi="Arial" w:cs="Arial"/>
          <w:sz w:val="24"/>
          <w:szCs w:val="24"/>
        </w:rPr>
        <w:t>º, I</w:t>
      </w:r>
      <w:r>
        <w:rPr>
          <w:rFonts w:hint="default" w:ascii="Arial" w:hAnsi="Arial" w:cs="Arial"/>
          <w:sz w:val="24"/>
          <w:szCs w:val="24"/>
          <w:lang w:val="pt-BR"/>
        </w:rPr>
        <w:t>V</w:t>
      </w:r>
      <w:r>
        <w:rPr>
          <w:rFonts w:ascii="Arial" w:hAnsi="Arial" w:cs="Arial"/>
          <w:sz w:val="24"/>
          <w:szCs w:val="24"/>
        </w:rPr>
        <w:t xml:space="preserve">, da Lei nº </w:t>
      </w:r>
      <w:r>
        <w:rPr>
          <w:rFonts w:hint="default" w:ascii="Arial" w:hAnsi="Arial" w:cs="Arial"/>
          <w:sz w:val="24"/>
          <w:szCs w:val="24"/>
          <w:lang w:val="pt-BR"/>
        </w:rPr>
        <w:t>14.133</w:t>
      </w:r>
      <w:r>
        <w:rPr>
          <w:rFonts w:ascii="Arial" w:hAnsi="Arial" w:cs="Arial"/>
          <w:sz w:val="24"/>
          <w:szCs w:val="24"/>
        </w:rPr>
        <w:t xml:space="preserve">, de </w:t>
      </w:r>
      <w:r>
        <w:rPr>
          <w:rFonts w:hint="default" w:ascii="Arial" w:hAnsi="Arial" w:cs="Arial"/>
          <w:sz w:val="24"/>
          <w:szCs w:val="24"/>
          <w:lang w:val="pt-BR"/>
        </w:rPr>
        <w:t>2021,</w:t>
      </w:r>
      <w:r>
        <w:rPr>
          <w:rFonts w:ascii="Arial" w:hAnsi="Arial" w:cs="Arial"/>
          <w:sz w:val="24"/>
          <w:szCs w:val="24"/>
        </w:rPr>
        <w:t xml:space="preserve"> ou que tenham qualquer outro impedimento legal para contratar com a Administração Municipal.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alteração ou modificação que importe em diminuição da capacidade operativa poderá ensejar a rescisão do instrumento proveniente deste Termo ou a revisão das condições estipuladas.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de total responsabilidade da empresa credenciada, durante a execução do acordo, informar com antecedência a administração pública qualquer alteração na situação cadastral (mudança de CNPJ e/ou alteração na Razão Social) da empresa, sob pena de suspensão dos créditos devidos até a regularização dos dados cadastrais.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secretaria assume a responsabilidade exclusiva pelas especificações dos materiais, não sendo atribuída ao Pregoeiro, equipe de apoio, comissão e Departamento de licitações, quaisquer culpabilidades neste sentido.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Arcos, </w:t>
      </w:r>
      <w:r>
        <w:rPr>
          <w:rFonts w:hint="default" w:ascii="Arial" w:hAnsi="Arial" w:cs="Arial"/>
          <w:sz w:val="24"/>
          <w:szCs w:val="24"/>
          <w:lang w:val="pt-BR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hint="default" w:ascii="Arial" w:hAnsi="Arial" w:cs="Arial"/>
          <w:sz w:val="24"/>
          <w:szCs w:val="24"/>
          <w:lang w:val="pt-BR"/>
        </w:rPr>
        <w:t>abril de 2024</w:t>
      </w:r>
      <w:r>
        <w:rPr>
          <w:rFonts w:ascii="Arial" w:hAnsi="Arial" w:cs="Arial"/>
          <w:sz w:val="24"/>
          <w:szCs w:val="24"/>
        </w:rPr>
        <w:t>.</w:t>
      </w: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t-BR"/>
        </w:rPr>
        <w:pict>
          <v:shape id="_x0000_s1026" o:spid="_x0000_s1026" o:spt="32" type="#_x0000_t32" style="position:absolute;left:0pt;margin-left:76.2pt;margin-top:24.4pt;height:0.75pt;width:285.75pt;z-index:251659264;mso-width-relative:page;mso-height-relative:page;" filled="f" coordsize="21600,21600" o:gfxdata="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GWX6iPYAAAACQEAAA8A&#10;AAAAAAAAAQAgAAAAIgAAAGRycy9kb3ducmV2LnhtbFBLAQIUABQAAAAIAIdO4kDQ+rcX3gEAAOMD&#10;AAAOAAAAAAAAAAEAIAAAACcBAABkcnMvZTJvRG9jLnhtbFBLBQYAAAAABgAGAFkBAAB3BQAA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Cleomar Geraldo da Silva</w:t>
      </w:r>
    </w:p>
    <w:p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Municipal de Administração</w:t>
      </w:r>
    </w:p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-268605</wp:posOffset>
          </wp:positionV>
          <wp:extent cx="952500" cy="10572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8"/>
        <w:szCs w:val="28"/>
      </w:rPr>
      <w:t>Prefeitura Municipal de Arcos</w:t>
    </w:r>
  </w:p>
  <w:p>
    <w:pPr>
      <w:pStyle w:val="8"/>
      <w:tabs>
        <w:tab w:val="left" w:pos="204"/>
        <w:tab w:val="left" w:pos="613"/>
        <w:tab w:val="center" w:pos="4677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ab/>
    </w:r>
    <w:r>
      <w:rPr>
        <w:rFonts w:ascii="Arial" w:hAnsi="Arial" w:cs="Arial"/>
        <w:sz w:val="28"/>
        <w:szCs w:val="28"/>
      </w:rPr>
      <w:t>Estado de Minas Gerais</w:t>
    </w:r>
  </w:p>
  <w:p>
    <w:pPr>
      <w:pStyle w:val="8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Rua Getúlio Vargas, nº 228 – Bairro Centro – Arcos – MG – CEP 35588-000</w:t>
    </w:r>
  </w:p>
  <w:p>
    <w:pPr>
      <w:pStyle w:val="8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CNPJ: 18.306.662/0001-50 - Telefone: (37) 3359-7900</w:t>
    </w:r>
  </w:p>
  <w:p>
    <w:pPr>
      <w:pStyle w:val="7"/>
    </w:pPr>
  </w:p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AB0F56"/>
    <w:multiLevelType w:val="multilevel"/>
    <w:tmpl w:val="1FAB0F56"/>
    <w:lvl w:ilvl="0" w:tentative="0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entative="0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82A2C1C"/>
    <w:multiLevelType w:val="multilevel"/>
    <w:tmpl w:val="482A2C1C"/>
    <w:lvl w:ilvl="0" w:tentative="0">
      <w:start w:val="14"/>
      <w:numFmt w:val="decimal"/>
      <w:lvlText w:val="%1"/>
      <w:lvlJc w:val="left"/>
      <w:pPr>
        <w:ind w:left="2287" w:hanging="709"/>
        <w:jc w:val="left"/>
      </w:pPr>
      <w:rPr>
        <w:rFonts w:hint="default"/>
        <w:lang w:val="pt-PT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4223" w:hanging="709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5195" w:hanging="709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6167" w:hanging="709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7139" w:hanging="709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8111" w:hanging="709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9082" w:hanging="709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10054" w:hanging="709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6722C"/>
    <w:rsid w:val="00005393"/>
    <w:rsid w:val="00054710"/>
    <w:rsid w:val="00056B0A"/>
    <w:rsid w:val="00064726"/>
    <w:rsid w:val="00072BA7"/>
    <w:rsid w:val="000D7472"/>
    <w:rsid w:val="0010283D"/>
    <w:rsid w:val="001132EB"/>
    <w:rsid w:val="001265B5"/>
    <w:rsid w:val="001661BD"/>
    <w:rsid w:val="00186EA5"/>
    <w:rsid w:val="00207EC7"/>
    <w:rsid w:val="002200C4"/>
    <w:rsid w:val="002B7569"/>
    <w:rsid w:val="003534AF"/>
    <w:rsid w:val="003A26E2"/>
    <w:rsid w:val="003C4A9D"/>
    <w:rsid w:val="003F4369"/>
    <w:rsid w:val="00422025"/>
    <w:rsid w:val="0042272D"/>
    <w:rsid w:val="004729ED"/>
    <w:rsid w:val="00476A54"/>
    <w:rsid w:val="00491F92"/>
    <w:rsid w:val="004A374B"/>
    <w:rsid w:val="004E7053"/>
    <w:rsid w:val="004F7F15"/>
    <w:rsid w:val="00527A7D"/>
    <w:rsid w:val="00555E5F"/>
    <w:rsid w:val="00556EED"/>
    <w:rsid w:val="00582B2D"/>
    <w:rsid w:val="005A55F5"/>
    <w:rsid w:val="005A778F"/>
    <w:rsid w:val="005D5B65"/>
    <w:rsid w:val="00640F8D"/>
    <w:rsid w:val="00684D21"/>
    <w:rsid w:val="00687C28"/>
    <w:rsid w:val="006A7A32"/>
    <w:rsid w:val="006B2049"/>
    <w:rsid w:val="006C1C5A"/>
    <w:rsid w:val="006C404C"/>
    <w:rsid w:val="00752732"/>
    <w:rsid w:val="007C3BFD"/>
    <w:rsid w:val="008037EA"/>
    <w:rsid w:val="00811415"/>
    <w:rsid w:val="008254C9"/>
    <w:rsid w:val="00852910"/>
    <w:rsid w:val="00886327"/>
    <w:rsid w:val="00892559"/>
    <w:rsid w:val="008A6FB5"/>
    <w:rsid w:val="00900259"/>
    <w:rsid w:val="00901F4D"/>
    <w:rsid w:val="00910570"/>
    <w:rsid w:val="00933704"/>
    <w:rsid w:val="009439FB"/>
    <w:rsid w:val="00960A5A"/>
    <w:rsid w:val="009A6853"/>
    <w:rsid w:val="00A025B8"/>
    <w:rsid w:val="00A26C73"/>
    <w:rsid w:val="00AD62F9"/>
    <w:rsid w:val="00B00DEF"/>
    <w:rsid w:val="00B11214"/>
    <w:rsid w:val="00B22A54"/>
    <w:rsid w:val="00BA3341"/>
    <w:rsid w:val="00BB7B29"/>
    <w:rsid w:val="00BF2A57"/>
    <w:rsid w:val="00C07AC2"/>
    <w:rsid w:val="00C213DB"/>
    <w:rsid w:val="00C40063"/>
    <w:rsid w:val="00C412B0"/>
    <w:rsid w:val="00C46A28"/>
    <w:rsid w:val="00C50EA4"/>
    <w:rsid w:val="00CC3F84"/>
    <w:rsid w:val="00D03C40"/>
    <w:rsid w:val="00D47488"/>
    <w:rsid w:val="00D50654"/>
    <w:rsid w:val="00D554C7"/>
    <w:rsid w:val="00D8196C"/>
    <w:rsid w:val="00D96103"/>
    <w:rsid w:val="00DB2CBA"/>
    <w:rsid w:val="00DC76DA"/>
    <w:rsid w:val="00DD168C"/>
    <w:rsid w:val="00DF0B70"/>
    <w:rsid w:val="00DF720B"/>
    <w:rsid w:val="00E06927"/>
    <w:rsid w:val="00E267C8"/>
    <w:rsid w:val="00E75A3B"/>
    <w:rsid w:val="00E75A7D"/>
    <w:rsid w:val="00E80D24"/>
    <w:rsid w:val="00E84FA0"/>
    <w:rsid w:val="00E9188B"/>
    <w:rsid w:val="00EA2C0C"/>
    <w:rsid w:val="00EC2DE2"/>
    <w:rsid w:val="00EC4BCD"/>
    <w:rsid w:val="00ED2F4D"/>
    <w:rsid w:val="00ED77E1"/>
    <w:rsid w:val="00EE6992"/>
    <w:rsid w:val="00F009BC"/>
    <w:rsid w:val="00F1259C"/>
    <w:rsid w:val="00F45407"/>
    <w:rsid w:val="00F6722C"/>
    <w:rsid w:val="00F972D0"/>
    <w:rsid w:val="00FD2DEE"/>
    <w:rsid w:val="0D555073"/>
    <w:rsid w:val="0E6E55F0"/>
    <w:rsid w:val="18562FF7"/>
    <w:rsid w:val="1F420F36"/>
    <w:rsid w:val="284408E2"/>
    <w:rsid w:val="2AF70F53"/>
    <w:rsid w:val="3583502D"/>
    <w:rsid w:val="39321CEB"/>
    <w:rsid w:val="75F143B0"/>
    <w:rsid w:val="7DC32F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character" w:styleId="5">
    <w:name w:val="page number"/>
    <w:basedOn w:val="2"/>
    <w:qFormat/>
    <w:uiPriority w:val="0"/>
  </w:style>
  <w:style w:type="paragraph" w:styleId="6">
    <w:name w:val="Body Text"/>
    <w:basedOn w:val="1"/>
    <w:link w:val="13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  <w:sz w:val="24"/>
      <w:szCs w:val="24"/>
      <w:lang w:val="pt-PT"/>
    </w:rPr>
  </w:style>
  <w:style w:type="paragraph" w:styleId="7">
    <w:name w:val="header"/>
    <w:basedOn w:val="1"/>
    <w:link w:val="11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2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9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1"/>
    <w:pPr>
      <w:ind w:left="720"/>
      <w:contextualSpacing/>
    </w:pPr>
  </w:style>
  <w:style w:type="character" w:customStyle="1" w:styleId="11">
    <w:name w:val="Cabeçalho Char"/>
    <w:basedOn w:val="2"/>
    <w:link w:val="7"/>
    <w:semiHidden/>
    <w:qFormat/>
    <w:uiPriority w:val="99"/>
  </w:style>
  <w:style w:type="character" w:customStyle="1" w:styleId="12">
    <w:name w:val="Rodapé Char"/>
    <w:basedOn w:val="2"/>
    <w:link w:val="8"/>
    <w:semiHidden/>
    <w:qFormat/>
    <w:uiPriority w:val="99"/>
  </w:style>
  <w:style w:type="character" w:customStyle="1" w:styleId="13">
    <w:name w:val="Corpo de texto Char"/>
    <w:basedOn w:val="2"/>
    <w:link w:val="6"/>
    <w:qFormat/>
    <w:uiPriority w:val="1"/>
    <w:rPr>
      <w:rFonts w:ascii="Arial MT" w:hAnsi="Arial MT" w:eastAsia="Arial MT" w:cs="Arial MT"/>
      <w:sz w:val="24"/>
      <w:szCs w:val="24"/>
      <w:lang w:val="pt-PT" w:eastAsia="en-US"/>
    </w:rPr>
  </w:style>
  <w:style w:type="paragraph" w:customStyle="1" w:styleId="14">
    <w:name w:val="Heading 1"/>
    <w:basedOn w:val="1"/>
    <w:qFormat/>
    <w:uiPriority w:val="1"/>
    <w:pPr>
      <w:widowControl w:val="0"/>
      <w:autoSpaceDE w:val="0"/>
      <w:autoSpaceDN w:val="0"/>
      <w:spacing w:after="0" w:line="240" w:lineRule="auto"/>
      <w:ind w:left="2287"/>
      <w:jc w:val="center"/>
      <w:outlineLvl w:val="1"/>
    </w:pPr>
    <w:rPr>
      <w:rFonts w:ascii="Arial" w:hAnsi="Arial" w:eastAsia="Arial" w:cs="Arial"/>
      <w:b/>
      <w:bCs/>
      <w:sz w:val="24"/>
      <w:szCs w:val="24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1721</Words>
  <Characters>9295</Characters>
  <Lines>77</Lines>
  <Paragraphs>21</Paragraphs>
  <TotalTime>0</TotalTime>
  <ScaleCrop>false</ScaleCrop>
  <LinksUpToDate>false</LinksUpToDate>
  <CharactersWithSpaces>10995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2023-08-22T19:33:00Z</dcterms:created>
  <dc:creator>mandrade</dc:creator>
  <cp:lastModifiedBy>vramos</cp:lastModifiedBy>
  <cp:lastPrinted>2024-04-23T18:01:53Z</cp:lastPrinted>
  <dcterms:modified xsi:type="dcterms:W3CDTF">2024-04-23T18:02:35Z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852EB81A57A648EA93F3B3653E283B43</vt:lpwstr>
  </property>
</Properties>
</file>