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enter" w:pos="4252"/>
          <w:tab w:val="right" w:pos="8504"/>
        </w:tabs>
        <w:spacing w:before="100" w:beforeAutospacing="1" w:after="100" w:afterAutospacing="1" w:line="360" w:lineRule="auto"/>
        <w:rPr>
          <w:rFonts w:hint="default"/>
          <w:sz w:val="36"/>
          <w:lang w:val="pt-BR"/>
        </w:rPr>
      </w:pPr>
      <w:r>
        <w:rPr>
          <w:sz w:val="36"/>
        </w:rPr>
        <w:t>TERMO DE REFERÊNCIA PARA DISPENSA(BENS)</w:t>
      </w:r>
      <w:bookmarkStart w:id="0" w:name="_GoBack"/>
      <w:bookmarkEnd w:id="0"/>
      <w:r>
        <w:rPr>
          <w:rFonts w:hint="default"/>
          <w:sz w:val="36"/>
          <w:lang w:val="pt-BR"/>
        </w:rPr>
        <w:t xml:space="preserve"> </w:t>
      </w:r>
    </w:p>
    <w:p>
      <w:pPr>
        <w:spacing w:line="360" w:lineRule="auto"/>
      </w:pPr>
    </w:p>
    <w:p>
      <w:pPr>
        <w:pStyle w:val="4"/>
        <w:spacing w:after="120" w:line="360" w:lineRule="auto"/>
        <w:jc w:val="both"/>
        <w:rPr>
          <w:rFonts w:hint="default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Da</w:t>
      </w:r>
      <w:r>
        <w:rPr>
          <w:rFonts w:ascii="Arial" w:hAnsi="Arial" w:cs="Arial"/>
          <w:sz w:val="24"/>
          <w:szCs w:val="24"/>
          <w:lang w:val="pt-BR"/>
        </w:rPr>
        <w:t>: Secretaria Municipal</w:t>
      </w:r>
      <w:r>
        <w:rPr>
          <w:rFonts w:hint="default" w:ascii="Arial" w:hAnsi="Arial" w:cs="Arial"/>
          <w:sz w:val="24"/>
          <w:szCs w:val="24"/>
          <w:lang w:val="pt-BR"/>
        </w:rPr>
        <w:t xml:space="preserve"> Municipal de Saúde</w:t>
      </w:r>
    </w:p>
    <w:p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Para</w:t>
      </w:r>
      <w:r>
        <w:rPr>
          <w:rFonts w:ascii="Arial" w:hAnsi="Arial" w:cs="Arial"/>
        </w:rPr>
        <w:t>: Departamento de Licitação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Encaminhamento</w:t>
      </w:r>
      <w:r>
        <w:rPr>
          <w:rFonts w:ascii="Arial" w:hAnsi="Arial" w:cs="Arial"/>
        </w:rPr>
        <w:t>: Para Comissão Permanente Da Licitação</w:t>
      </w:r>
    </w:p>
    <w:p>
      <w:pPr>
        <w:spacing w:after="120" w:line="360" w:lineRule="auto"/>
        <w:rPr>
          <w:rFonts w:hint="default" w:ascii="Arial" w:hAnsi="Arial" w:cs="Arial"/>
          <w:bCs/>
          <w:lang w:val="pt-BR"/>
        </w:rPr>
      </w:pPr>
      <w:r>
        <w:rPr>
          <w:rFonts w:ascii="Arial" w:hAnsi="Arial" w:cs="Arial"/>
          <w:b/>
          <w:bCs/>
        </w:rPr>
        <w:t>Assunto</w:t>
      </w:r>
      <w:r>
        <w:rPr>
          <w:rFonts w:ascii="Arial" w:hAnsi="Arial" w:cs="Arial"/>
          <w:bCs/>
        </w:rPr>
        <w:t xml:space="preserve">: </w:t>
      </w:r>
      <w:r>
        <w:rPr>
          <w:rFonts w:hint="default" w:ascii="Arial" w:hAnsi="Arial" w:cs="Arial"/>
          <w:bCs/>
          <w:lang w:val="pt-BR"/>
        </w:rPr>
        <w:t>Aquisição de medicamentos para atender demandas da Secretaria Municipal de Saúde.</w:t>
      </w:r>
    </w:p>
    <w:p>
      <w:pPr>
        <w:spacing w:after="0" w:line="360" w:lineRule="auto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</w:rPr>
        <w:t>Objeto</w:t>
      </w:r>
      <w:r>
        <w:rPr>
          <w:rFonts w:ascii="Arial" w:hAnsi="Arial" w:cs="Arial"/>
          <w:bCs/>
        </w:rPr>
        <w:t xml:space="preserve">: </w:t>
      </w:r>
      <w:r>
        <w:rPr>
          <w:rFonts w:hint="default" w:ascii="Arial" w:hAnsi="Arial" w:eastAsia="Arial Unicode MS" w:cs="Arial"/>
          <w:sz w:val="24"/>
          <w:szCs w:val="24"/>
          <w:lang w:val="pt-BR"/>
        </w:rPr>
        <w:t>Aquisição</w:t>
      </w:r>
      <w:r>
        <w:rPr>
          <w:rFonts w:hint="default" w:ascii="Arial" w:hAnsi="Arial" w:eastAsia="Arial Unicode MS" w:cs="Arial"/>
          <w:sz w:val="24"/>
          <w:szCs w:val="24"/>
        </w:rPr>
        <w:t xml:space="preserve"> de </w:t>
      </w:r>
      <w:r>
        <w:rPr>
          <w:rFonts w:hint="default" w:ascii="Arial" w:hAnsi="Arial" w:eastAsia="Arial Unicode MS" w:cs="Arial"/>
          <w:sz w:val="24"/>
          <w:szCs w:val="24"/>
          <w:lang w:val="pt-BR"/>
        </w:rPr>
        <w:t xml:space="preserve">medicamentos e materiais hospitalares </w:t>
      </w:r>
      <w:r>
        <w:rPr>
          <w:rFonts w:hint="default" w:ascii="Arial" w:hAnsi="Arial" w:eastAsia="Arial Unicode MS" w:cs="Arial"/>
          <w:sz w:val="24"/>
          <w:szCs w:val="24"/>
        </w:rPr>
        <w:t>para atender</w:t>
      </w:r>
      <w:r>
        <w:rPr>
          <w:rFonts w:hint="default" w:ascii="Arial" w:hAnsi="Arial" w:eastAsia="Arial Unicode MS" w:cs="Arial"/>
          <w:sz w:val="24"/>
          <w:szCs w:val="24"/>
          <w:lang w:val="pt-BR"/>
        </w:rPr>
        <w:t xml:space="preserve"> d</w:t>
      </w:r>
      <w:r>
        <w:rPr>
          <w:rFonts w:hint="default" w:ascii="Arial" w:hAnsi="Arial" w:cs="Arial"/>
          <w:sz w:val="24"/>
          <w:szCs w:val="24"/>
          <w:lang w:val="pt-BR"/>
        </w:rPr>
        <w:t>emandas da Secretaria Municipal de Saúde</w:t>
      </w:r>
    </w:p>
    <w:p>
      <w:pPr>
        <w:spacing w:after="0" w:line="360" w:lineRule="auto"/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spacing w:after="120" w:line="360" w:lineRule="auto"/>
        <w:rPr>
          <w:rFonts w:hint="default" w:ascii="Arial" w:hAnsi="Arial" w:cs="Arial"/>
          <w:b/>
          <w:bCs/>
          <w:highlight w:val="none"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 xml:space="preserve">Modalidade: </w:t>
      </w:r>
      <w:r>
        <w:rPr>
          <w:rFonts w:hint="default" w:ascii="Arial" w:hAnsi="Arial" w:cs="Arial"/>
          <w:b w:val="0"/>
          <w:bCs w:val="0"/>
          <w:lang w:val="pt-BR"/>
        </w:rPr>
        <w:t>Dispensa</w:t>
      </w:r>
    </w:p>
    <w:p>
      <w:pPr>
        <w:spacing w:after="120" w:line="360" w:lineRule="auto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eastAsia="Arial Unicode MS" w:cs="Arial"/>
          <w:b/>
        </w:rPr>
        <w:t>Justificativa da dispensa</w:t>
      </w:r>
      <w:r>
        <w:rPr>
          <w:rFonts w:ascii="Arial" w:hAnsi="Arial" w:eastAsia="Arial Unicode MS" w:cs="Arial"/>
        </w:rPr>
        <w:t>:</w:t>
      </w:r>
      <w:r>
        <w:rPr>
          <w:rFonts w:hint="default" w:ascii="Arial" w:hAnsi="Arial" w:cs="Arial"/>
          <w:sz w:val="24"/>
          <w:szCs w:val="24"/>
          <w:lang w:val="pt-BR"/>
        </w:rPr>
        <w:t xml:space="preserve"> justifica a aquisição de tais medicamentos e materiais por ser tratar de demandas Judiciais, demandas Hospitalares e demandas da Farmácia de Minas, tais medicamentos e materiais são necessários na rede publica em sáude na dispensação aos pacientes diários da farmácia de Minas, atendimentos diários do Pronto Socorro. </w:t>
      </w:r>
    </w:p>
    <w:p>
      <w:pPr>
        <w:spacing w:after="120" w:line="360" w:lineRule="auto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Atualmente estes medicamentos não encontra-se licitados pois estamos aguardando a conclusão do processo licitatório na modalidade Registro de Preços para aquisição de medicamentos por Desconto na Tabela CMED e ainda não foi publicado.</w:t>
      </w:r>
    </w:p>
    <w:p>
      <w:pPr>
        <w:spacing w:after="120" w:line="360" w:lineRule="auto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O quantitativo descrito neste termo foi criado com base em consumos mensais das unidades e limaneres por demandas Judicias para acudir um periodo maxímo de 03 (três) meses levando em consideração os estoques zerados.</w:t>
      </w:r>
    </w:p>
    <w:p>
      <w:pPr>
        <w:spacing w:after="120" w:line="360" w:lineRule="auto"/>
        <w:rPr>
          <w:rFonts w:hint="default" w:ascii="Arial" w:hAnsi="Arial" w:cs="Arial"/>
          <w:b/>
          <w:bCs/>
          <w:highlight w:val="none"/>
          <w:lang w:val="pt-BR"/>
        </w:rPr>
      </w:pPr>
      <w:r>
        <w:rPr>
          <w:rFonts w:hint="default" w:ascii="Arial" w:hAnsi="Arial" w:cs="Arial"/>
          <w:b/>
          <w:bCs/>
          <w:highlight w:val="none"/>
          <w:lang w:val="pt-BR"/>
        </w:rPr>
        <w:t>Critério de julgamento: Menor preço por item.</w:t>
      </w:r>
    </w:p>
    <w:p>
      <w:pPr>
        <w:spacing w:after="120" w:line="360" w:lineRule="auto"/>
        <w:rPr>
          <w:rFonts w:ascii="Arial" w:hAnsi="Arial" w:eastAsia="Arial Unicode MS" w:cs="Arial"/>
        </w:rPr>
      </w:pPr>
      <w:r>
        <w:rPr>
          <w:rFonts w:ascii="Arial" w:hAnsi="Arial" w:eastAsia="Arial Unicode MS" w:cs="Arial"/>
          <w:b/>
        </w:rPr>
        <w:t>Da Especificação do Objeto</w:t>
      </w:r>
      <w:r>
        <w:rPr>
          <w:rFonts w:ascii="Arial" w:hAnsi="Arial" w:eastAsia="Arial Unicode MS" w:cs="Arial"/>
        </w:rPr>
        <w:t>:</w:t>
      </w:r>
    </w:p>
    <w:tbl>
      <w:tblPr>
        <w:tblStyle w:val="6"/>
        <w:tblpPr w:leftFromText="180" w:rightFromText="180" w:vertAnchor="text" w:horzAnchor="page" w:tblpX="1338" w:tblpY="316"/>
        <w:tblOverlap w:val="never"/>
        <w:tblW w:w="5604" w:type="pct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857"/>
        <w:gridCol w:w="1050"/>
        <w:gridCol w:w="1383"/>
        <w:gridCol w:w="1467"/>
        <w:gridCol w:w="114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1" w:beforeLines="100" w:after="361" w:afterLines="100" w:line="360" w:lineRule="auto"/>
              <w:jc w:val="center"/>
              <w:textAlignment w:val="baseline"/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  <w:t>Item</w:t>
            </w: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1" w:beforeLines="100" w:after="361" w:afterLines="100" w:line="360" w:lineRule="auto"/>
              <w:jc w:val="center"/>
              <w:textAlignment w:val="baseline"/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  <w:t>Descrição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0C0C0"/>
            <w:tcMar>
              <w:lef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1" w:beforeLines="100" w:after="361" w:afterLines="100" w:line="360" w:lineRule="auto"/>
              <w:jc w:val="center"/>
              <w:textAlignment w:val="baseline"/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  <w:t>Q</w:t>
            </w:r>
            <w:r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  <w:lang w:val="pt-BR"/>
              </w:rPr>
              <w:t>td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1" w:beforeLines="100" w:after="361" w:afterLines="100" w:line="360" w:lineRule="auto"/>
              <w:jc w:val="center"/>
              <w:textAlignment w:val="baseline"/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</w:rPr>
              <w:t>Medida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1" w:beforeLines="100" w:after="361" w:afterLines="100" w:line="360" w:lineRule="auto"/>
              <w:jc w:val="center"/>
              <w:textAlignment w:val="baseline"/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  <w:lang w:val="pt-BR"/>
              </w:rPr>
              <w:t>Demanda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1" w:beforeLines="100" w:after="361" w:afterLines="100" w:line="360" w:lineRule="auto"/>
              <w:jc w:val="center"/>
              <w:textAlignment w:val="baseline"/>
              <w:rPr>
                <w:rFonts w:hint="default" w:ascii="Arial" w:hAnsi="Arial" w:cs="Arial"/>
                <w:b/>
                <w:bCs w:val="0"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Open Sans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eastAsia="Open Sans" w:cs="Arial"/>
                <w:color w:val="auto"/>
                <w:sz w:val="22"/>
                <w:szCs w:val="22"/>
                <w:lang w:val="pt-BR"/>
              </w:rPr>
              <w:t>LATUDA 40 MG COM REV CT BL AL AL X 30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06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CAIXAS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Demanda Judicial - Auto Custo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Andreia Alves dos Reis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Open Sans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eastAsia="Open Sans" w:cs="Arial"/>
                <w:color w:val="auto"/>
                <w:sz w:val="22"/>
                <w:szCs w:val="22"/>
                <w:lang w:val="pt-BR"/>
              </w:rPr>
              <w:t>Melatonida 10 mg c/60 (Manipulado)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03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CAIXAS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Demanda Judicial - Auto Custo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Geysa Pereira Lima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Open Sans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eastAsia="Open Sans" w:cs="Arial"/>
                <w:color w:val="auto"/>
                <w:sz w:val="22"/>
                <w:szCs w:val="22"/>
                <w:lang w:val="pt-BR"/>
              </w:rPr>
              <w:t>Cloreto de Sódio 0,9% 10ml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1.200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UNIDADE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Demanda Judicial - UBS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João Gabriel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Open Sans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</w:rPr>
              <w:t>Amoxicilina+clavulanato 500+125mg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  <w:lang w:val="pt-BR"/>
              </w:rPr>
              <w:t>6</w:t>
            </w: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</w:rPr>
              <w:t>.000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Comprimidos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Farmácia Basica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</w:rPr>
              <w:t>Metildopa 250mg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  <w:lang w:val="pt-BR"/>
              </w:rPr>
              <w:t>6.000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Comprimidos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Farmácia Basica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</w:rPr>
              <w:t>Miconazol 20mg creme vaginal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</w:rPr>
              <w:t> </w:t>
            </w: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  <w:lang w:val="pt-BR"/>
              </w:rPr>
              <w:t>21</w:t>
            </w: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</w:rPr>
              <w:t>0 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Frascos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Farmácia Basica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</w:rPr>
              <w:t>Sinvastatina 10mg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  <w:lang w:val="pt-BR"/>
              </w:rPr>
              <w:t>6.000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Comprimidos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Farmácia Basica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</w:rPr>
              <w:t>Verapamil 80mg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  <w:lang w:val="pt-BR"/>
              </w:rPr>
              <w:t>1.500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Comprimidos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Farmácia Basica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Ácido ascórbico 100mg/ml solução injetável ampola 5ml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6F6F6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1.000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ampola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Hospital Municipal São José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Ácido tranexâmico 50mg/ml solução injetável 5ml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300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ampola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Hospital Municipal São José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Cloreto de sódio 0,9% solução injetável- ampola de 10ml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800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ampola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Hospital Municipal São José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Nitroglicerina 5mg/ml solução injetável ampola 5ml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30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ampola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Hospital Municipal São José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Complexo B solução injetável ampola 2ml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3.000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ampola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Hospital Municipal São José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Butilbrometo de escopolamina 4mg/ml+dipirona sódica 500mg/ml solução injetável ampola 5ml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1.500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ampola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Hospital Municipal São José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Sulfato de salbutamol 100mcg/dose- spray aerossol pressurizada, apresentada em frascos de alumínio com 200 doses, acompanhados de aplicador plástico de polipropileno especialmente desenhado para inalação por via oral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100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unidades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Hospital Municipal São José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Cefalotina sódica 1G pó para solução injetável frasco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300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Frasco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Hospital Municipal São José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Cloridrato de Ondansetrona 2mg/ml solução injetável 2ml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1.500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Unidades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Hospital Municipal São José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Fosfato dissódico de Dexametasona 4mg/ml solução injetável ampola 2,5ml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3.000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Unidades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Hospital Municipal São José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Kit de cateter duplo lúmen para acesso venoso central cvc 7frx 20cm com acessórios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40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Unidades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Hospital Municipal São José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Kit de cateter mono lúmen para acesso venoso central com acessórios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30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Unidades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Hospital Municipal São José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Cloreto de cálcio 0,2mg/ml+Lactado de sódio 3mg/ml+Cloreto de potássio 03mg/ml+Cloreto de sódio 6mg/ml(Ringer com lactado) solução injetável bolsa sistema fechado 500ml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90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Unidades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Hospital Municipal São José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Diazepam 5mg/ml solução injetável ampola 2m</w:t>
            </w: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l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400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Unidades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Hospital Municipal São José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IV, bolsa sistema fechado 100ml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3.000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Unidades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Hospital São José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À</w:t>
            </w: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gua para injetáveis ampola 10ml</w:t>
            </w:r>
          </w:p>
        </w:tc>
        <w:tc>
          <w:tcPr>
            <w:tcW w:w="10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</w:pPr>
            <w:r>
              <w:rPr>
                <w:rFonts w:hint="default" w:ascii="Arial" w:hAnsi="Arial" w:eastAsia="monospace" w:cs="Arial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8.000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Unidades</w:t>
            </w:r>
          </w:p>
        </w:tc>
        <w:tc>
          <w:tcPr>
            <w:tcW w:w="14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  <w:t>Hospital São José</w:t>
            </w:r>
          </w:p>
        </w:tc>
        <w:tc>
          <w:tcPr>
            <w:tcW w:w="11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pt-BR"/>
              </w:rPr>
            </w:pPr>
          </w:p>
        </w:tc>
      </w:tr>
    </w:tbl>
    <w:p>
      <w:pPr>
        <w:spacing w:after="120" w:line="360" w:lineRule="auto"/>
        <w:jc w:val="both"/>
        <w:rPr>
          <w:rFonts w:ascii="Arial" w:hAnsi="Arial" w:eastAsia="Arial Unicode MS" w:cs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ascii="Arial" w:hAnsi="Arial" w:eastAsia="Arial Unicode MS" w:cs="Arial"/>
          <w:color w:val="auto"/>
        </w:rPr>
      </w:pPr>
      <w:r>
        <w:rPr>
          <w:rFonts w:ascii="Arial" w:hAnsi="Arial" w:eastAsia="Arial Unicode MS" w:cs="Arial"/>
          <w:b/>
          <w:color w:val="auto"/>
        </w:rPr>
        <w:t>Requisitos Necessários</w:t>
      </w:r>
      <w:r>
        <w:rPr>
          <w:rFonts w:ascii="Arial" w:hAnsi="Arial" w:eastAsia="Arial Unicode MS" w:cs="Arial"/>
          <w:color w:val="auto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hint="default" w:ascii="Arial" w:hAnsi="Arial" w:eastAsia="Arial Unicode MS" w:cs="Arial"/>
          <w:color w:val="auto"/>
          <w:lang w:val="pt-BR"/>
        </w:rPr>
      </w:pPr>
      <w:r>
        <w:rPr>
          <w:rFonts w:hint="default" w:ascii="Arial" w:hAnsi="Arial" w:eastAsia="Arial Unicode MS" w:cs="Arial"/>
          <w:color w:val="auto"/>
          <w:lang w:val="pt-BR"/>
        </w:rPr>
        <w:t>Documentação Fiscal, Juridica, Trabalhista e econimica-finaceira;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>Apresentar a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utorização para funcionamento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emitida pelo Serviço de Vigilância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Sanitária da Secretaria de Saúde Estadual ou Municipal da sede do licitante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>, bem como Certidão de Regularidade emitido pelo Conselho Federal de Farmácia.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Condições de Execução: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entrega deverá ser realizada no prazo máximo de </w:t>
      </w:r>
      <w:r>
        <w:rPr>
          <w:rFonts w:hint="default" w:ascii="Arial" w:hAnsi="Arial" w:cs="Arial"/>
          <w:color w:val="auto"/>
          <w:lang w:val="pt-BR"/>
        </w:rPr>
        <w:t>24 horas</w:t>
      </w:r>
      <w:r>
        <w:rPr>
          <w:rFonts w:ascii="Arial" w:hAnsi="Arial" w:cs="Arial"/>
          <w:color w:val="auto"/>
        </w:rPr>
        <w:t xml:space="preserve"> a partir do recebimento da ordem de compra.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É obrigatório entregar a nota fiscal junto com a entrega do produto. Não serão aceitas notas fiscais enviadas por email para fim de recebimento.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hint="default"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</w:rPr>
        <w:t>A entrega dos produto</w:t>
      </w:r>
      <w:r>
        <w:rPr>
          <w:rFonts w:hint="default" w:ascii="Arial" w:hAnsi="Arial" w:cs="Arial"/>
          <w:color w:val="auto"/>
          <w:lang w:val="pt-BR"/>
        </w:rPr>
        <w:t>s: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hint="default" w:ascii="Arial" w:hAnsi="Arial" w:cs="Arial"/>
          <w:color w:val="auto"/>
          <w:lang w:val="en-US" w:eastAsia="pt-BR"/>
        </w:rPr>
      </w:pPr>
      <w:r>
        <w:rPr>
          <w:rFonts w:hint="default" w:ascii="Arial" w:hAnsi="Arial" w:cs="Arial"/>
          <w:b/>
          <w:bCs/>
          <w:color w:val="auto"/>
          <w:lang w:val="pt-BR"/>
        </w:rPr>
        <w:t>Demanda Auto- Custo</w:t>
      </w:r>
      <w:r>
        <w:rPr>
          <w:rFonts w:hint="default" w:ascii="Arial" w:hAnsi="Arial" w:cs="Arial"/>
          <w:color w:val="auto"/>
          <w:lang w:val="pt-BR"/>
        </w:rPr>
        <w:t xml:space="preserve"> - Farmácia de </w:t>
      </w:r>
      <w:r>
        <w:rPr>
          <w:rFonts w:hint="default" w:ascii="Arial" w:hAnsi="Arial" w:cs="Arial"/>
          <w:color w:val="auto"/>
          <w:lang w:val="pt-BR" w:eastAsia="pt-BR"/>
        </w:rPr>
        <w:t>Minas  - Rua: Francisca da silva Campos, n° 60, Bairro: Belvedere, Arcos/MG</w:t>
      </w:r>
      <w:r>
        <w:rPr>
          <w:rFonts w:hint="default" w:ascii="Arial" w:hAnsi="Arial" w:cs="Arial"/>
          <w:color w:val="auto"/>
          <w:lang w:val="en-US" w:eastAsia="pt-BR"/>
        </w:rPr>
        <w:t>. Responsável pelo recebimento: Sra. Amanda Rilsa Alves Guimarães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hint="default" w:ascii="Arial" w:hAnsi="Arial" w:cs="Arial"/>
          <w:color w:val="auto"/>
          <w:lang w:val="en-US"/>
        </w:rPr>
      </w:pPr>
      <w:r>
        <w:rPr>
          <w:rFonts w:hint="default" w:ascii="Arial" w:hAnsi="Arial" w:cs="Arial"/>
          <w:b/>
          <w:bCs/>
          <w:color w:val="auto"/>
          <w:lang w:val="en-US" w:eastAsia="pt-BR"/>
        </w:rPr>
        <w:t>Demanda UBS</w:t>
      </w:r>
      <w:r>
        <w:rPr>
          <w:rFonts w:hint="default" w:ascii="Arial" w:hAnsi="Arial" w:cs="Arial"/>
          <w:color w:val="auto"/>
          <w:lang w:val="en-US" w:eastAsia="pt-BR"/>
        </w:rPr>
        <w:t xml:space="preserve"> - Fumusa - </w:t>
      </w:r>
      <w:r>
        <w:rPr>
          <w:rFonts w:ascii="Arial" w:hAnsi="Arial" w:cs="Arial"/>
          <w:color w:val="auto"/>
        </w:rPr>
        <w:t>R. Getúlio Vargas, 149 - Oliveiras, Arcos - MG</w:t>
      </w:r>
      <w:r>
        <w:rPr>
          <w:rFonts w:hint="default" w:ascii="Arial" w:hAnsi="Arial" w:cs="Arial"/>
          <w:color w:val="auto"/>
          <w:lang w:val="pt-BR"/>
        </w:rPr>
        <w:t xml:space="preserve"> </w:t>
      </w:r>
      <w:r>
        <w:rPr>
          <w:rFonts w:hint="default" w:ascii="Arial" w:hAnsi="Arial" w:cs="Arial"/>
          <w:color w:val="auto"/>
          <w:lang w:val="en-US" w:eastAsia="pt-BR"/>
        </w:rPr>
        <w:t>Responsável pelo recebimento: Luiz Claúdio de Moura Fernandes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hint="default" w:ascii="Arial" w:hAnsi="Arial" w:cs="Arial"/>
          <w:color w:val="auto"/>
          <w:lang w:val="en-US" w:eastAsia="pt-BR"/>
        </w:rPr>
      </w:pPr>
      <w:r>
        <w:rPr>
          <w:rFonts w:hint="default" w:ascii="Arial" w:hAnsi="Arial" w:cs="Arial"/>
          <w:b/>
          <w:bCs/>
          <w:color w:val="auto"/>
          <w:lang w:val="pt-BR"/>
        </w:rPr>
        <w:t>Demandas Farmácia de Minas</w:t>
      </w:r>
      <w:r>
        <w:rPr>
          <w:rFonts w:hint="default" w:ascii="Arial" w:hAnsi="Arial" w:cs="Arial"/>
          <w:color w:val="auto"/>
          <w:lang w:val="pt-BR"/>
        </w:rPr>
        <w:t xml:space="preserve">  - </w:t>
      </w:r>
      <w:r>
        <w:rPr>
          <w:rFonts w:hint="default" w:ascii="Arial" w:hAnsi="Arial" w:cs="Arial"/>
          <w:color w:val="auto"/>
          <w:lang w:val="pt-BR" w:eastAsia="pt-BR"/>
        </w:rPr>
        <w:t>Rua: Francisca da silva Campos, n° 60, Bairro: Belvedere, Arcos/MG</w:t>
      </w:r>
      <w:r>
        <w:rPr>
          <w:rFonts w:hint="default" w:ascii="Arial" w:hAnsi="Arial" w:cs="Arial"/>
          <w:color w:val="auto"/>
          <w:lang w:val="en-US" w:eastAsia="pt-BR"/>
        </w:rPr>
        <w:t>, Responsável pelo recebimento: Sra. Jaqueline Vilela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hint="default" w:ascii="Arial" w:hAnsi="Arial" w:cs="Arial"/>
          <w:color w:val="auto"/>
          <w:lang w:val="en-US" w:eastAsia="pt-BR"/>
        </w:rPr>
      </w:pPr>
      <w:r>
        <w:rPr>
          <w:rFonts w:hint="default" w:ascii="Arial" w:hAnsi="Arial" w:cs="Arial"/>
          <w:b/>
          <w:bCs/>
          <w:color w:val="auto"/>
          <w:lang w:val="en-US" w:eastAsia="pt-BR"/>
        </w:rPr>
        <w:t>Demanda Hospital Municipal São José</w:t>
      </w:r>
      <w:r>
        <w:rPr>
          <w:rFonts w:hint="default" w:ascii="Arial" w:hAnsi="Arial" w:cs="Arial"/>
          <w:color w:val="auto"/>
          <w:lang w:val="en-US" w:eastAsia="pt-BR"/>
        </w:rPr>
        <w:t>: Rua</w:t>
      </w:r>
      <w:r>
        <w:rPr>
          <w:rFonts w:hint="default" w:ascii="Arial" w:hAnsi="Arial" w:cs="Arial"/>
          <w:color w:val="auto"/>
          <w:lang w:val="pt-BR" w:eastAsia="pt-BR"/>
        </w:rPr>
        <w:t>:</w:t>
      </w:r>
      <w:r>
        <w:rPr>
          <w:rFonts w:hint="default" w:ascii="Arial" w:hAnsi="Arial" w:cs="Arial"/>
          <w:color w:val="auto"/>
          <w:lang w:val="en-US" w:eastAsia="pt-BR"/>
        </w:rPr>
        <w:t xml:space="preserve"> Formiga, n.º</w:t>
      </w:r>
      <w:r>
        <w:rPr>
          <w:rFonts w:hint="default" w:ascii="Arial" w:hAnsi="Arial" w:cs="Arial"/>
          <w:color w:val="auto"/>
          <w:lang w:val="pt-BR" w:eastAsia="pt-BR"/>
        </w:rPr>
        <w:t xml:space="preserve"> 114,</w:t>
      </w:r>
      <w:r>
        <w:rPr>
          <w:rFonts w:hint="default" w:ascii="Arial" w:hAnsi="Arial" w:cs="Arial"/>
          <w:color w:val="auto"/>
          <w:lang w:val="en-US" w:eastAsia="pt-BR"/>
        </w:rPr>
        <w:t xml:space="preserve"> bairro</w:t>
      </w:r>
      <w:r>
        <w:rPr>
          <w:rFonts w:hint="default" w:ascii="Arial" w:hAnsi="Arial" w:cs="Arial"/>
          <w:color w:val="auto"/>
          <w:lang w:val="pt-BR" w:eastAsia="pt-BR"/>
        </w:rPr>
        <w:t>:</w:t>
      </w:r>
      <w:r>
        <w:rPr>
          <w:rFonts w:hint="default" w:ascii="Arial" w:hAnsi="Arial" w:cs="Arial"/>
          <w:color w:val="auto"/>
          <w:lang w:val="en-US" w:eastAsia="pt-BR"/>
        </w:rPr>
        <w:t xml:space="preserve"> São José, Arcos/MG</w:t>
      </w:r>
      <w:r>
        <w:rPr>
          <w:rFonts w:hint="default" w:ascii="Arial" w:hAnsi="Arial" w:cs="Arial"/>
          <w:color w:val="auto"/>
          <w:lang w:val="pt-BR" w:eastAsia="pt-BR"/>
        </w:rPr>
        <w:t xml:space="preserve">. </w:t>
      </w:r>
      <w:r>
        <w:rPr>
          <w:rFonts w:hint="default" w:ascii="Arial" w:hAnsi="Arial" w:cs="Arial"/>
          <w:color w:val="auto"/>
          <w:lang w:val="en-US" w:eastAsia="pt-BR"/>
        </w:rPr>
        <w:t xml:space="preserve">Responsável pelo recebimento: </w:t>
      </w:r>
      <w:r>
        <w:rPr>
          <w:rFonts w:hint="default" w:ascii="Arial" w:hAnsi="Arial" w:cs="Arial"/>
          <w:color w:val="auto"/>
          <w:lang w:val="pt-BR" w:eastAsia="pt-BR"/>
        </w:rPr>
        <w:t>Josiane Franciele Ferreira</w:t>
      </w:r>
      <w:r>
        <w:rPr>
          <w:rFonts w:hint="default" w:ascii="Arial" w:hAnsi="Arial" w:cs="Arial"/>
          <w:color w:val="auto"/>
          <w:lang w:val="en-US" w:eastAsia="pt-B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 horário para entrega será estipulado na ordem de fornecimento.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 Secretaria requisitante, não autorizar</w:t>
      </w:r>
      <w:r>
        <w:rPr>
          <w:rFonts w:hint="default" w:ascii="Arial" w:hAnsi="Arial" w:cs="Arial"/>
          <w:lang w:val="pt-BR"/>
        </w:rPr>
        <w:t>á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pt-BR"/>
        </w:rPr>
        <w:t>a entrega</w:t>
      </w:r>
      <w:r>
        <w:rPr>
          <w:rFonts w:ascii="Arial" w:hAnsi="Arial" w:cs="Arial"/>
        </w:rPr>
        <w:t xml:space="preserve"> fora do horário estipulado na NAF.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No caso de reprovação do produto, a empresa terá </w:t>
      </w:r>
      <w:r>
        <w:rPr>
          <w:rFonts w:hint="default" w:ascii="Arial" w:hAnsi="Arial" w:cs="Arial"/>
          <w:lang w:val="pt-BR"/>
        </w:rPr>
        <w:t>24 horas</w:t>
      </w:r>
      <w:r>
        <w:rPr>
          <w:rFonts w:ascii="Arial" w:hAnsi="Arial" w:cs="Arial"/>
        </w:rPr>
        <w:t xml:space="preserve"> para regularização do mesmo. A retirada do produto é por conta da Contratada.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Os medicamentos devem ser entregues com no máximo 1/3 (um terço) da validade transcorrido, sob pena de devolução;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hint="default" w:ascii="Arial" w:hAnsi="Arial" w:cs="Arial"/>
          <w:lang w:val="en-US" w:eastAsia="pt-BR"/>
        </w:rPr>
      </w:pPr>
      <w:r>
        <w:rPr>
          <w:rFonts w:hint="default" w:ascii="Arial" w:hAnsi="Arial" w:cs="Arial"/>
          <w:lang w:val="pt-BR" w:eastAsia="pt-BR"/>
        </w:rPr>
        <w:t>Todos os medicamentos entregues devem seguir os protocolos exigidos pelo Conselho Federal de Farmácia, tendo na embalagem a inscrição do farmacêutico responsável e registro no Ministério da Saúde</w:t>
      </w:r>
      <w:r>
        <w:rPr>
          <w:rFonts w:hint="default" w:ascii="Arial" w:hAnsi="Arial" w:cs="Arial"/>
          <w:lang w:val="en-US" w:eastAsia="pt-B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A entrega dos produtos será </w:t>
      </w:r>
      <w:r>
        <w:rPr>
          <w:rFonts w:hint="default" w:ascii="Arial" w:hAnsi="Arial" w:cs="Arial"/>
          <w:lang w:val="pt-BR"/>
        </w:rPr>
        <w:t>de forma integral.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Fiscalização do Contrato</w:t>
      </w:r>
      <w:r>
        <w:rPr>
          <w:rFonts w:hint="default" w:ascii="Arial" w:hAnsi="Arial" w:cs="Arial"/>
          <w:b/>
          <w:lang w:val="pt-BR"/>
        </w:rPr>
        <w:t>: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CONTROLE, AVALIAÇÃO, VISTORIA E FISCALIZAÇÃO,</w:t>
      </w:r>
      <w:r>
        <w:rPr>
          <w:rFonts w:hint="default" w:ascii="Arial" w:hAnsi="Arial" w:cs="Arial"/>
          <w:sz w:val="24"/>
          <w:szCs w:val="24"/>
          <w:lang w:val="pt-BR"/>
        </w:rPr>
        <w:t xml:space="preserve"> s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ob a responsabilidade de realizar o recebimento, a contagem dos materiais entregues, a verificação de avaria ou produtos vencidos, a comparação de mercadorias recebidas com a descrição na Autorização de 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>C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ompras a fim de perceber possíveis inconsistências nos itens recebidos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>,</w:t>
      </w:r>
      <w:r>
        <w:rPr>
          <w:rFonts w:hint="default" w:ascii="Arial" w:hAnsi="Arial" w:eastAsia="SimSun" w:cs="Arial"/>
          <w:i w:val="0"/>
          <w:iCs w:val="0"/>
          <w:caps w:val="0"/>
          <w:color w:val="2C363A"/>
          <w:spacing w:val="0"/>
          <w:sz w:val="24"/>
          <w:szCs w:val="24"/>
          <w:shd w:val="clear" w:fill="FFFFFF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ficará a cargo do fiscal do contrato, 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 exigir informações adicionais que julgue necessário desde que a solicitação seja feita por escrito.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81" w:beforeLines="50" w:after="120" w:line="36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</w:rPr>
        <w:t>iscal:</w:t>
      </w:r>
    </w:p>
    <w:tbl>
      <w:tblPr>
        <w:tblStyle w:val="6"/>
        <w:tblW w:w="50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2"/>
        <w:gridCol w:w="2353"/>
        <w:gridCol w:w="1963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32" w:type="pct"/>
            <w:shd w:val="clear" w:color="auto" w:fill="BFBFBF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tabs>
                <w:tab w:val="center" w:pos="4419"/>
                <w:tab w:val="right" w:pos="883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</w:rPr>
              <w:t>Local:</w:t>
            </w:r>
          </w:p>
        </w:tc>
        <w:tc>
          <w:tcPr>
            <w:tcW w:w="1346" w:type="pct"/>
            <w:shd w:val="clear" w:color="auto" w:fill="BFBFBF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tabs>
                <w:tab w:val="center" w:pos="4419"/>
                <w:tab w:val="right" w:pos="883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</w:rPr>
              <w:t>Responsável:</w:t>
            </w:r>
          </w:p>
        </w:tc>
        <w:tc>
          <w:tcPr>
            <w:tcW w:w="1123" w:type="pct"/>
            <w:shd w:val="clear" w:color="auto" w:fill="BFBFBF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tabs>
                <w:tab w:val="center" w:pos="4419"/>
                <w:tab w:val="right" w:pos="883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</w:rPr>
              <w:t>Contato:</w:t>
            </w:r>
          </w:p>
        </w:tc>
        <w:tc>
          <w:tcPr>
            <w:tcW w:w="896" w:type="pct"/>
            <w:shd w:val="clear" w:color="auto" w:fill="BFBFBF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tabs>
                <w:tab w:val="center" w:pos="4419"/>
                <w:tab w:val="right" w:pos="883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</w:rPr>
              <w:t>MASP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pct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tabs>
                <w:tab w:val="center" w:pos="4419"/>
                <w:tab w:val="right" w:pos="883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  <w:t xml:space="preserve">Hospital Municipal São José </w:t>
            </w:r>
          </w:p>
        </w:tc>
        <w:tc>
          <w:tcPr>
            <w:tcW w:w="1346" w:type="pct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tabs>
                <w:tab w:val="center" w:pos="4419"/>
                <w:tab w:val="right" w:pos="883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  <w:t>Josiane Franciele Ferreira</w:t>
            </w:r>
          </w:p>
        </w:tc>
        <w:tc>
          <w:tcPr>
            <w:tcW w:w="1123" w:type="pct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  <w:t>(37)3351-4872</w:t>
            </w:r>
          </w:p>
        </w:tc>
        <w:tc>
          <w:tcPr>
            <w:tcW w:w="896" w:type="pct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tabs>
                <w:tab w:val="center" w:pos="4419"/>
                <w:tab w:val="right" w:pos="883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  <w:t>90298/1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pct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tabs>
                <w:tab w:val="center" w:pos="4419"/>
                <w:tab w:val="right" w:pos="883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  <w:t>Atenção Primaria</w:t>
            </w:r>
          </w:p>
        </w:tc>
        <w:tc>
          <w:tcPr>
            <w:tcW w:w="1346" w:type="pct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tabs>
                <w:tab w:val="center" w:pos="4419"/>
                <w:tab w:val="right" w:pos="883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  <w:t>Luiz Claúdio de Moura Fernandes</w:t>
            </w:r>
          </w:p>
        </w:tc>
        <w:tc>
          <w:tcPr>
            <w:tcW w:w="1123" w:type="pct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  <w:t>(37)3351-1875</w:t>
            </w:r>
          </w:p>
        </w:tc>
        <w:tc>
          <w:tcPr>
            <w:tcW w:w="896" w:type="pct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tabs>
                <w:tab w:val="center" w:pos="4419"/>
                <w:tab w:val="right" w:pos="883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  <w:t>67490/1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pct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tabs>
                <w:tab w:val="center" w:pos="4419"/>
                <w:tab w:val="right" w:pos="883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  <w:t>Farmácia de Minas</w:t>
            </w:r>
          </w:p>
        </w:tc>
        <w:tc>
          <w:tcPr>
            <w:tcW w:w="1346" w:type="pct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tabs>
                <w:tab w:val="center" w:pos="4419"/>
                <w:tab w:val="right" w:pos="883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  <w:t>Jaqueline Vilela</w:t>
            </w:r>
          </w:p>
        </w:tc>
        <w:tc>
          <w:tcPr>
            <w:tcW w:w="1123" w:type="pct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  <w:t>(37)3351-1562</w:t>
            </w:r>
          </w:p>
        </w:tc>
        <w:tc>
          <w:tcPr>
            <w:tcW w:w="896" w:type="pct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tabs>
                <w:tab w:val="center" w:pos="4419"/>
                <w:tab w:val="right" w:pos="883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  <w:t>434/1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pct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tabs>
                <w:tab w:val="center" w:pos="4419"/>
                <w:tab w:val="right" w:pos="883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  <w:t>Farmácia de Auto-Custo</w:t>
            </w:r>
          </w:p>
        </w:tc>
        <w:tc>
          <w:tcPr>
            <w:tcW w:w="1346" w:type="pct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tabs>
                <w:tab w:val="center" w:pos="4419"/>
                <w:tab w:val="right" w:pos="883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  <w:t>Amanda Rilsa Alves Guimarães</w:t>
            </w:r>
          </w:p>
        </w:tc>
        <w:tc>
          <w:tcPr>
            <w:tcW w:w="1123" w:type="pct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both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  <w:t>(37)3351-1562</w:t>
            </w:r>
          </w:p>
        </w:tc>
        <w:tc>
          <w:tcPr>
            <w:tcW w:w="896" w:type="pct"/>
            <w:noWrap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tabs>
                <w:tab w:val="center" w:pos="4419"/>
                <w:tab w:val="right" w:pos="883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pt-BR"/>
              </w:rPr>
              <w:t>158374/3</w:t>
            </w:r>
          </w:p>
        </w:tc>
      </w:tr>
    </w:tbl>
    <w:p>
      <w:pPr>
        <w:spacing w:beforeLines="100" w:afterLines="10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Forma de Pagamento:</w:t>
      </w:r>
    </w:p>
    <w:p>
      <w:pPr>
        <w:spacing w:beforeLines="100" w:afterLines="10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 CONTRATANTE realizará o pagamento no prazo de 30 (trinta) dias, contado da entrega do produto e da apresentação do documento fiscal correspondente, acompanhado da respectiva autorização de compra;</w:t>
      </w:r>
    </w:p>
    <w:p>
      <w:pPr>
        <w:spacing w:beforeLines="100" w:afterLines="10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Não será efetuado qualquer pagamento à contratada, em caso de descumprimento das condições de habilitação e qualificação exigidas na licitação;</w:t>
      </w:r>
    </w:p>
    <w:p>
      <w:pPr>
        <w:spacing w:beforeLines="100" w:afterLines="10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É vedada a realização de pagamento antes da entrega do produto ou se o mesmo não estiver de acordo com as especificações deste instrumento;</w:t>
      </w:r>
    </w:p>
    <w:p>
      <w:pPr>
        <w:spacing w:beforeLines="100" w:afterLines="10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Os pagamentos encontram-se ainda condicionados à apresentação das seguintes comprovações dos documentos: Documentação relativa à regularidade para com a Seguridade Social (INSS), Fundo de Garantia por Tempo de Serviço (FGTS), Trabalhista e Fazendas Federal, Estadual e Municipal e Certidão Negativa do Contribuinte Municipal;</w:t>
      </w:r>
    </w:p>
    <w:p>
      <w:pPr>
        <w:spacing w:beforeLines="100" w:afterLines="10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Condições Gerais:</w:t>
      </w:r>
    </w:p>
    <w:p>
      <w:pPr>
        <w:spacing w:beforeLines="100" w:afterLines="10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 xml:space="preserve">É de total responsabilidade da empresa vencedora, durante a vigência da ata de registro de preços, informar com antecedência a administração pública qualquer </w:t>
      </w:r>
      <w:r>
        <w:rPr>
          <w:rFonts w:ascii="Arial" w:hAnsi="Arial" w:cs="Arial"/>
          <w:sz w:val="22"/>
          <w:szCs w:val="22"/>
          <w:lang w:val="pt-BR"/>
        </w:rPr>
        <w:t xml:space="preserve">alteração na situação cadastral (mudança de CNPJ e/ou alteração na Razão Social) </w:t>
      </w:r>
    </w:p>
    <w:p>
      <w:pPr>
        <w:spacing w:beforeLines="100" w:afterLines="10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da empresa, sob pena de suspensão dos créditos devidos até a regularização dos dados cadastrais;</w:t>
      </w:r>
    </w:p>
    <w:p>
      <w:pPr>
        <w:spacing w:beforeLines="100" w:afterLines="10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Reserva-se o direito da Contratante em não aceitar os produtos em desacordo com o previsto neste Termo de Referência ou em desconformidade com as normas legais ou técnicas pertinentes ao seu objeto;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 secretaria assume a responsabilidade exclusiva pelas especificação dos materiais/serviços, não sendo atribuída à Pregoeira, equipe de apoio e Departamento de licitações, quaisquer culpabilidades neste sentido.</w:t>
      </w:r>
    </w:p>
    <w:p>
      <w:pPr>
        <w:pStyle w:val="10"/>
        <w:spacing w:line="360" w:lineRule="auto"/>
        <w:rPr>
          <w:rFonts w:ascii="Arial" w:hAnsi="Arial" w:cs="Arial"/>
        </w:rPr>
      </w:pPr>
    </w:p>
    <w:p>
      <w:pPr>
        <w:pStyle w:val="10"/>
        <w:spacing w:line="360" w:lineRule="auto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Arcos, </w:t>
      </w:r>
      <w:r>
        <w:rPr>
          <w:rFonts w:hint="default" w:ascii="Arial" w:hAnsi="Arial" w:cs="Arial"/>
          <w:lang w:val="pt-BR"/>
        </w:rPr>
        <w:t>25</w:t>
      </w:r>
      <w:r>
        <w:rPr>
          <w:rFonts w:ascii="Arial" w:hAnsi="Arial" w:cs="Arial"/>
        </w:rPr>
        <w:t xml:space="preserve"> de </w:t>
      </w:r>
      <w:r>
        <w:rPr>
          <w:rFonts w:hint="default" w:ascii="Arial" w:hAnsi="Arial" w:cs="Arial"/>
          <w:lang w:val="pt-BR"/>
        </w:rPr>
        <w:t xml:space="preserve">Agosto </w:t>
      </w:r>
      <w:r>
        <w:rPr>
          <w:rFonts w:ascii="Arial" w:hAnsi="Arial" w:cs="Arial"/>
        </w:rPr>
        <w:t xml:space="preserve">de </w:t>
      </w:r>
      <w:r>
        <w:rPr>
          <w:rFonts w:hint="default" w:ascii="Arial" w:hAnsi="Arial" w:cs="Arial"/>
          <w:lang w:val="pt-BR"/>
        </w:rPr>
        <w:t>2023.</w:t>
      </w: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Concordância com o Termo de Referência</w:t>
      </w:r>
    </w:p>
    <w:p>
      <w:pPr>
        <w:spacing w:after="120" w:line="360" w:lineRule="auto"/>
        <w:jc w:val="both"/>
        <w:rPr>
          <w:rFonts w:ascii="Arial" w:hAnsi="Arial" w:cs="Arial"/>
          <w:b/>
        </w:rPr>
      </w:pPr>
    </w:p>
    <w:p>
      <w:pPr>
        <w:spacing w:line="360" w:lineRule="auto"/>
        <w:ind w:right="823" w:rightChars="343"/>
        <w:jc w:val="center"/>
        <w:rPr>
          <w:rFonts w:hint="default" w:ascii="Arial" w:hAnsi="Arial" w:cs="Arial"/>
          <w:lang w:val="pt-BR"/>
        </w:rPr>
      </w:pPr>
    </w:p>
    <w:p>
      <w:pPr>
        <w:spacing w:line="360" w:lineRule="auto"/>
        <w:ind w:right="823" w:rightChars="343"/>
        <w:jc w:val="both"/>
        <w:rPr>
          <w:rFonts w:hint="default"/>
          <w:lang w:val="pt-BR"/>
        </w:rPr>
      </w:pPr>
    </w:p>
    <w:p>
      <w:pPr>
        <w:spacing w:line="360" w:lineRule="auto"/>
        <w:ind w:right="823" w:rightChars="343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_________________________________________</w:t>
      </w:r>
    </w:p>
    <w:p>
      <w:pPr>
        <w:spacing w:line="360" w:lineRule="auto"/>
        <w:ind w:right="823" w:rightChars="343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Tiago Carvalho de Oliveira</w:t>
      </w:r>
    </w:p>
    <w:p>
      <w:pPr>
        <w:spacing w:line="360" w:lineRule="auto"/>
        <w:ind w:right="823" w:rightChars="343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Secretario Municipal de Saúde</w:t>
      </w:r>
    </w:p>
    <w:sectPr>
      <w:headerReference r:id="rId3" w:type="default"/>
      <w:footerReference r:id="rId5" w:type="default"/>
      <w:headerReference r:id="rId4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Open San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9310"/>
    </w:sdtPr>
    <w:sdtContent>
      <w:p>
        <w:pPr>
          <w:pStyle w:val="1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11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8"/>
      </w:rPr>
    </w:pPr>
  </w:p>
  <w:p>
    <w:pPr>
      <w:pStyle w:val="10"/>
      <w:ind w:right="360"/>
    </w:pPr>
  </w:p>
  <w:p>
    <w:r>
      <w:rPr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-507365</wp:posOffset>
          </wp:positionV>
          <wp:extent cx="3731895" cy="643890"/>
          <wp:effectExtent l="0" t="0" r="0" b="3810"/>
          <wp:wrapTopAndBottom/>
          <wp:docPr id="2" name="Objec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ject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189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10"/>
      <w:ind w:right="360"/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187B9D"/>
    <w:multiLevelType w:val="singleLevel"/>
    <w:tmpl w:val="D1187B9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C0"/>
    <w:rsid w:val="00044A3A"/>
    <w:rsid w:val="000562E8"/>
    <w:rsid w:val="000D7EC7"/>
    <w:rsid w:val="001216E2"/>
    <w:rsid w:val="00200D76"/>
    <w:rsid w:val="002C4343"/>
    <w:rsid w:val="004002D6"/>
    <w:rsid w:val="004429DE"/>
    <w:rsid w:val="004817FE"/>
    <w:rsid w:val="00486E3A"/>
    <w:rsid w:val="00497FA3"/>
    <w:rsid w:val="004C2C90"/>
    <w:rsid w:val="004E5F88"/>
    <w:rsid w:val="004F408A"/>
    <w:rsid w:val="005A6450"/>
    <w:rsid w:val="006018C7"/>
    <w:rsid w:val="0061227A"/>
    <w:rsid w:val="00650718"/>
    <w:rsid w:val="006B36CA"/>
    <w:rsid w:val="007D2A4C"/>
    <w:rsid w:val="007E5469"/>
    <w:rsid w:val="00862011"/>
    <w:rsid w:val="00897559"/>
    <w:rsid w:val="00984DAC"/>
    <w:rsid w:val="009E5BEA"/>
    <w:rsid w:val="00A270C0"/>
    <w:rsid w:val="00A469A9"/>
    <w:rsid w:val="00AE217E"/>
    <w:rsid w:val="00B00F63"/>
    <w:rsid w:val="00C530F4"/>
    <w:rsid w:val="00CD344A"/>
    <w:rsid w:val="00CD4A41"/>
    <w:rsid w:val="00D3522E"/>
    <w:rsid w:val="00EA5644"/>
    <w:rsid w:val="00EC6318"/>
    <w:rsid w:val="00F80439"/>
    <w:rsid w:val="00FC28BF"/>
    <w:rsid w:val="061D74EA"/>
    <w:rsid w:val="075824DF"/>
    <w:rsid w:val="12CB7AAE"/>
    <w:rsid w:val="13CB4A09"/>
    <w:rsid w:val="14C6775D"/>
    <w:rsid w:val="14FF063E"/>
    <w:rsid w:val="19AC1457"/>
    <w:rsid w:val="1F2F3944"/>
    <w:rsid w:val="22B53208"/>
    <w:rsid w:val="234026DC"/>
    <w:rsid w:val="23F44DDA"/>
    <w:rsid w:val="27442A1C"/>
    <w:rsid w:val="275346A0"/>
    <w:rsid w:val="2C5D719F"/>
    <w:rsid w:val="2CC80A62"/>
    <w:rsid w:val="30B21F41"/>
    <w:rsid w:val="32901ADB"/>
    <w:rsid w:val="36DE1FD3"/>
    <w:rsid w:val="459F42D2"/>
    <w:rsid w:val="48A40EDC"/>
    <w:rsid w:val="4F4D5E3F"/>
    <w:rsid w:val="57F91511"/>
    <w:rsid w:val="63FB631E"/>
    <w:rsid w:val="6BE56396"/>
    <w:rsid w:val="6EE43A25"/>
    <w:rsid w:val="79AE0458"/>
    <w:rsid w:val="7D247C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uppressAutoHyphen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6"/>
    <w:basedOn w:val="1"/>
    <w:next w:val="1"/>
    <w:link w:val="14"/>
    <w:qFormat/>
    <w:uiPriority w:val="0"/>
    <w:pPr>
      <w:keepNext/>
      <w:jc w:val="center"/>
      <w:outlineLvl w:val="5"/>
    </w:pPr>
    <w:rPr>
      <w:rFonts w:ascii="Arial" w:hAnsi="Arial" w:cs="Arial"/>
      <w:bCs/>
      <w:sz w:val="44"/>
    </w:rPr>
  </w:style>
  <w:style w:type="paragraph" w:styleId="4">
    <w:name w:val="heading 7"/>
    <w:basedOn w:val="1"/>
    <w:next w:val="1"/>
    <w:link w:val="15"/>
    <w:qFormat/>
    <w:uiPriority w:val="0"/>
    <w:pPr>
      <w:outlineLvl w:val="6"/>
    </w:pPr>
    <w:rPr>
      <w:sz w:val="28"/>
      <w:szCs w:val="20"/>
      <w:lang w:val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22"/>
    <w:rPr>
      <w:b/>
      <w:bCs/>
    </w:rPr>
  </w:style>
  <w:style w:type="character" w:styleId="8">
    <w:name w:val="page number"/>
    <w:basedOn w:val="5"/>
    <w:qFormat/>
    <w:uiPriority w:val="0"/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  <w:rPr>
      <w:rFonts w:hint="eastAsia" w:ascii="Arial Unicode MS" w:hAnsi="Arial Unicode MS" w:eastAsia="Arial Unicode MS" w:cs="Arial Unicode MS"/>
    </w:rPr>
  </w:style>
  <w:style w:type="paragraph" w:styleId="10">
    <w:name w:val="header"/>
    <w:basedOn w:val="1"/>
    <w:link w:val="17"/>
    <w:qFormat/>
    <w:uiPriority w:val="99"/>
    <w:pPr>
      <w:tabs>
        <w:tab w:val="center" w:pos="4419"/>
        <w:tab w:val="right" w:pos="8838"/>
      </w:tabs>
    </w:pPr>
  </w:style>
  <w:style w:type="paragraph" w:styleId="11">
    <w:name w:val="footer"/>
    <w:basedOn w:val="1"/>
    <w:link w:val="18"/>
    <w:qFormat/>
    <w:uiPriority w:val="99"/>
    <w:pPr>
      <w:tabs>
        <w:tab w:val="center" w:pos="4252"/>
        <w:tab w:val="right" w:pos="8504"/>
      </w:tabs>
    </w:pPr>
  </w:style>
  <w:style w:type="table" w:styleId="12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Título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pt-BR"/>
    </w:rPr>
  </w:style>
  <w:style w:type="character" w:customStyle="1" w:styleId="14">
    <w:name w:val="Título 6 Char"/>
    <w:basedOn w:val="5"/>
    <w:link w:val="3"/>
    <w:qFormat/>
    <w:uiPriority w:val="0"/>
    <w:rPr>
      <w:rFonts w:ascii="Arial" w:hAnsi="Arial" w:eastAsia="Times New Roman" w:cs="Arial"/>
      <w:bCs/>
      <w:sz w:val="44"/>
      <w:szCs w:val="24"/>
      <w:lang w:eastAsia="pt-BR"/>
    </w:rPr>
  </w:style>
  <w:style w:type="character" w:customStyle="1" w:styleId="15">
    <w:name w:val="Título 7 Char"/>
    <w:basedOn w:val="5"/>
    <w:link w:val="4"/>
    <w:qFormat/>
    <w:uiPriority w:val="0"/>
    <w:rPr>
      <w:rFonts w:ascii="Times New Roman" w:hAnsi="Times New Roman" w:eastAsia="Times New Roman" w:cs="Times New Roman"/>
      <w:sz w:val="28"/>
      <w:szCs w:val="20"/>
      <w:lang w:val="en-US" w:eastAsia="pt-BR"/>
    </w:rPr>
  </w:style>
  <w:style w:type="paragraph" w:customStyle="1" w:styleId="16">
    <w:name w:val="Default"/>
    <w:qFormat/>
    <w:uiPriority w:val="0"/>
    <w:pPr>
      <w:autoSpaceDE w:val="0"/>
      <w:autoSpaceDN w:val="0"/>
      <w:adjustRightInd w:val="0"/>
    </w:pPr>
    <w:rPr>
      <w:rFonts w:ascii="Book Antiqua" w:hAnsi="Book Antiqua" w:eastAsia="Times New Roman" w:cs="Book Antiqua"/>
      <w:color w:val="000000"/>
      <w:sz w:val="24"/>
      <w:szCs w:val="24"/>
      <w:lang w:val="pt-BR" w:eastAsia="pt-BR" w:bidi="ar-SA"/>
    </w:rPr>
  </w:style>
  <w:style w:type="character" w:customStyle="1" w:styleId="17">
    <w:name w:val="Cabeçalho Char"/>
    <w:basedOn w:val="5"/>
    <w:link w:val="10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8">
    <w:name w:val="Rodapé Char"/>
    <w:basedOn w:val="5"/>
    <w:link w:val="11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B565-E4A0-450F-AE45-A473C20DB4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867</Words>
  <Characters>4685</Characters>
  <Lines>39</Lines>
  <Paragraphs>11</Paragraphs>
  <TotalTime>62</TotalTime>
  <ScaleCrop>false</ScaleCrop>
  <LinksUpToDate>false</LinksUpToDate>
  <CharactersWithSpaces>5541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2021-11-05T13:00:00Z</dcterms:created>
  <dc:creator>Helen Cristina Batista</dc:creator>
  <cp:lastModifiedBy>kcamargo</cp:lastModifiedBy>
  <cp:lastPrinted>2023-09-20T18:19:00Z</cp:lastPrinted>
  <dcterms:modified xsi:type="dcterms:W3CDTF">2023-10-02T20:45:18Z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5AC77E262AAE4AE5A2E93A412B72E191</vt:lpwstr>
  </property>
</Properties>
</file>