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210</w:t>
      </w:r>
      <w:bookmarkStart w:id="1" w:name="_GoBack"/>
      <w:bookmarkEnd w:id="1"/>
      <w:r>
        <w:rPr>
          <w:rFonts w:hint="default" w:ascii="Arial" w:hAnsi="Arial" w:eastAsia="Times New Roman" w:cs="Arial"/>
          <w:b/>
          <w:iCs/>
          <w:highlight w:val="none"/>
          <w:lang w:val="pt-BR"/>
        </w:rPr>
        <w:t>/2024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Aquisição Materiais de Construção em geral para uso em manutenção das unidades publicas, c</w:t>
      </w:r>
      <w:r>
        <w:rPr>
          <w:sz w:val="24"/>
          <w:szCs w:val="24"/>
        </w:rPr>
        <w:t>onforme condições e exigências estabelecidas neste instrumento.</w:t>
      </w:r>
    </w:p>
    <w:tbl>
      <w:tblPr>
        <w:tblStyle w:val="8"/>
        <w:tblW w:w="5000" w:type="pct"/>
        <w:tblInd w:w="0" w:type="dxa"/>
        <w:tblLayout w:type="fixed"/>
        <w:tblCellMar>
          <w:top w:w="0" w:type="dxa"/>
          <w:left w:w="70" w:type="dxa"/>
          <w:bottom w:w="0" w:type="dxa"/>
          <w:right w:w="70" w:type="dxa"/>
        </w:tblCellMar>
      </w:tblPr>
      <w:tblGrid>
        <w:gridCol w:w="620"/>
        <w:gridCol w:w="4285"/>
        <w:gridCol w:w="755"/>
        <w:gridCol w:w="1906"/>
        <w:gridCol w:w="1291"/>
        <w:gridCol w:w="921"/>
      </w:tblGrid>
      <w:tr>
        <w:tblPrEx>
          <w:tblCellMar>
            <w:top w:w="0" w:type="dxa"/>
            <w:left w:w="70" w:type="dxa"/>
            <w:bottom w:w="0" w:type="dxa"/>
            <w:right w:w="70" w:type="dxa"/>
          </w:tblCellMar>
        </w:tblPrEx>
        <w:trPr>
          <w:trHeight w:val="605" w:hRule="atLeast"/>
        </w:trPr>
        <w:tc>
          <w:tcPr>
            <w:tcW w:w="317"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autoSpaceDE/>
              <w:autoSpaceDN/>
              <w:spacing w:line="240" w:lineRule="auto"/>
              <w:ind w:right="-240" w:rightChars="-100"/>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ITEM</w:t>
            </w:r>
          </w:p>
        </w:tc>
        <w:tc>
          <w:tcPr>
            <w:tcW w:w="2191" w:type="pct"/>
            <w:tcBorders>
              <w:top w:val="single" w:color="auto" w:sz="4" w:space="0"/>
              <w:left w:val="nil"/>
              <w:bottom w:val="single" w:color="auto" w:sz="4" w:space="0"/>
              <w:right w:val="single" w:color="auto" w:sz="4" w:space="0"/>
            </w:tcBorders>
            <w:shd w:val="clear" w:color="auto" w:fill="auto"/>
            <w:noWrap/>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DESCRIÇÃO DO MATERIAL</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QTD</w:t>
            </w:r>
          </w:p>
        </w:tc>
        <w:tc>
          <w:tcPr>
            <w:tcW w:w="974" w:type="pct"/>
            <w:tcBorders>
              <w:top w:val="single" w:color="auto" w:sz="4" w:space="0"/>
              <w:left w:val="nil"/>
              <w:bottom w:val="single" w:color="auto" w:sz="4" w:space="0"/>
              <w:right w:val="single" w:color="auto" w:sz="4" w:space="0"/>
            </w:tcBorders>
            <w:shd w:val="clear" w:color="auto" w:fill="auto"/>
            <w:noWrap/>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UNIDADE MEDIDA</w:t>
            </w:r>
          </w:p>
        </w:tc>
        <w:tc>
          <w:tcPr>
            <w:tcW w:w="66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line="240" w:lineRule="auto"/>
              <w:jc w:val="both"/>
              <w:textAlignment w:val="center"/>
              <w:rPr>
                <w:rFonts w:hint="default" w:ascii="Arial" w:hAnsi="Arial" w:eastAsia="Times New Roman" w:cs="Arial"/>
                <w:color w:val="auto"/>
                <w:sz w:val="22"/>
                <w:szCs w:val="22"/>
                <w:lang w:val="pt-BR" w:eastAsia="pt-BR"/>
              </w:rPr>
            </w:pPr>
            <w:r>
              <w:rPr>
                <w:rFonts w:hint="default" w:ascii="Arial" w:hAnsi="Arial" w:eastAsia="SimSun" w:cs="Arial"/>
                <w:b/>
                <w:bCs/>
                <w:i w:val="0"/>
                <w:iCs w:val="0"/>
                <w:color w:val="auto"/>
                <w:kern w:val="0"/>
                <w:sz w:val="22"/>
                <w:szCs w:val="22"/>
                <w:u w:val="none"/>
                <w:lang w:val="en-US" w:eastAsia="zh-CN" w:bidi="ar"/>
              </w:rPr>
              <w:t>Preço Unitário</w:t>
            </w:r>
          </w:p>
        </w:tc>
        <w:tc>
          <w:tcPr>
            <w:tcW w:w="4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line="240" w:lineRule="auto"/>
              <w:jc w:val="both"/>
              <w:textAlignment w:val="center"/>
              <w:rPr>
                <w:rFonts w:hint="default" w:ascii="Arial" w:hAnsi="Arial" w:eastAsia="Times New Roman" w:cs="Arial"/>
                <w:color w:val="auto"/>
                <w:sz w:val="22"/>
                <w:szCs w:val="22"/>
                <w:lang w:val="pt-BR" w:eastAsia="pt-BR"/>
              </w:rPr>
            </w:pPr>
            <w:r>
              <w:rPr>
                <w:rFonts w:hint="default" w:ascii="Arial" w:hAnsi="Arial" w:eastAsia="SimSun" w:cs="Arial"/>
                <w:b/>
                <w:bCs/>
                <w:i w:val="0"/>
                <w:iCs w:val="0"/>
                <w:color w:val="auto"/>
                <w:kern w:val="0"/>
                <w:sz w:val="22"/>
                <w:szCs w:val="22"/>
                <w:u w:val="none"/>
                <w:lang w:val="en-US" w:eastAsia="zh-CN" w:bidi="ar"/>
              </w:rPr>
              <w:t>Preço</w:t>
            </w:r>
            <w:r>
              <w:rPr>
                <w:rFonts w:hint="default" w:ascii="Arial" w:hAnsi="Arial" w:eastAsia="SimSun" w:cs="Arial"/>
                <w:b/>
                <w:bCs/>
                <w:i w:val="0"/>
                <w:iCs w:val="0"/>
                <w:color w:val="auto"/>
                <w:kern w:val="0"/>
                <w:sz w:val="22"/>
                <w:szCs w:val="22"/>
                <w:u w:val="none"/>
                <w:lang w:val="en-US" w:eastAsia="zh-CN" w:bidi="ar"/>
              </w:rPr>
              <w:br w:type="textWrapping"/>
            </w:r>
            <w:r>
              <w:rPr>
                <w:rFonts w:hint="default" w:ascii="Arial" w:hAnsi="Arial" w:eastAsia="SimSun" w:cs="Arial"/>
                <w:b/>
                <w:bCs/>
                <w:i w:val="0"/>
                <w:iCs w:val="0"/>
                <w:color w:val="auto"/>
                <w:kern w:val="0"/>
                <w:sz w:val="22"/>
                <w:szCs w:val="22"/>
                <w:u w:val="none"/>
                <w:lang w:val="en-US" w:eastAsia="zh-CN" w:bidi="ar"/>
              </w:rPr>
              <w:t>Total</w:t>
            </w: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Adesivo Cola Para Junta De Motores 3m73gr. Motores diesel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w:t>
            </w:r>
          </w:p>
        </w:tc>
        <w:tc>
          <w:tcPr>
            <w:tcW w:w="2191"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cs="Arial"/>
                <w:b/>
                <w:bCs/>
                <w:color w:val="auto"/>
                <w:sz w:val="22"/>
                <w:szCs w:val="22"/>
                <w:shd w:val="clear" w:color="auto" w:fill="FFFFFF"/>
              </w:rPr>
              <w:t>Adesivo instantâneo multiuso 20g</w:t>
            </w:r>
            <w:r>
              <w:rPr>
                <w:rFonts w:hint="default" w:ascii="Arial" w:hAnsi="Arial" w:cs="Arial"/>
                <w:bCs/>
                <w:color w:val="auto"/>
                <w:sz w:val="22"/>
                <w:szCs w:val="22"/>
                <w:shd w:val="clear" w:color="auto" w:fill="FFFFFF"/>
              </w:rPr>
              <w:t xml:space="preserve"> </w:t>
            </w:r>
            <w:r>
              <w:rPr>
                <w:rFonts w:hint="default" w:ascii="Arial" w:hAnsi="Arial" w:cs="Arial"/>
                <w:color w:val="auto"/>
                <w:sz w:val="22"/>
                <w:szCs w:val="22"/>
                <w:shd w:val="clear" w:color="auto" w:fill="FFFFFF"/>
              </w:rPr>
              <w:t>com a tampa com pino antientupimento, cola porcelana, metal, borracha, couro, madeira, papel, papelão, MDF, cortiça, laminado, compensado  Com colagem </w:t>
            </w:r>
            <w:r>
              <w:rPr>
                <w:rStyle w:val="12"/>
                <w:rFonts w:hint="default" w:ascii="Arial" w:hAnsi="Arial" w:cs="Arial"/>
                <w:b/>
                <w:bCs/>
                <w:i w:val="0"/>
                <w:iCs w:val="0"/>
                <w:color w:val="auto"/>
                <w:sz w:val="22"/>
                <w:szCs w:val="22"/>
                <w:shd w:val="clear" w:color="auto" w:fill="FFFFFF"/>
              </w:rPr>
              <w:t>instantânea</w:t>
            </w:r>
            <w:r>
              <w:rPr>
                <w:rFonts w:hint="default" w:ascii="Arial" w:hAnsi="Arial" w:cs="Arial"/>
                <w:color w:val="auto"/>
                <w:sz w:val="22"/>
                <w:szCs w:val="22"/>
                <w:shd w:val="clear" w:color="auto" w:fill="FFFFFF"/>
              </w:rPr>
              <w:t> em 10 segundos (</w:t>
            </w:r>
            <w:r>
              <w:rPr>
                <w:rFonts w:hint="default" w:ascii="Arial" w:hAnsi="Arial" w:cs="Arial"/>
                <w:bCs/>
                <w:color w:val="auto"/>
                <w:sz w:val="22"/>
                <w:szCs w:val="22"/>
                <w:shd w:val="clear" w:color="auto" w:fill="FFFFFF"/>
              </w:rPr>
              <w:t xml:space="preserve"> tipo - Super Bonder )</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Unidade </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Farpado Galvanizado Rolo com 250 Metros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Rolo</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Farpado Galvanizado Rolo com 400 Metros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Rolo</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liso galvanizado14-2,11mm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liso galvanizado16-2,50mm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liso galvanizado18-1,24mm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recozido 12 -2,77mm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Kilo</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recozido 14 -2,11mm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Kilo</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Arame recozido 18 -1,24mm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Kilo</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Argamassa para Assentamento de piso externo 20Kg CPII</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Argamassa para Assentamento de piso Interno 20Kg CPI</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Argamassa para Porcelanato E Piso Sobre Piso Externo  20Kg</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Argamassa Para Porcelanato Epis Sobre Piso Interno 20Kg</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ASSENTO BRANCO PARA VASO </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ASSENTO PARA VASO PNE (NBR 9050) </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chata 3/4X1/8 comprimento 6 metros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12 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2"/>
              <w:shd w:val="clear" w:color="auto" w:fill="FFFFFF"/>
              <w:spacing w:line="240" w:lineRule="auto"/>
              <w:jc w:val="both"/>
              <w:textAlignment w:val="baseline"/>
              <w:rPr>
                <w:rFonts w:hint="default" w:ascii="Arial" w:hAnsi="Arial" w:cs="Arial"/>
                <w:b w:val="0"/>
                <w:color w:val="auto"/>
                <w:sz w:val="22"/>
                <w:szCs w:val="22"/>
                <w:lang w:val="pt-BR"/>
              </w:rPr>
            </w:pPr>
            <w:r>
              <w:rPr>
                <w:rFonts w:hint="default" w:ascii="Arial" w:hAnsi="Arial" w:eastAsia="Times New Roman" w:cs="Arial"/>
                <w:b w:val="0"/>
                <w:color w:val="auto"/>
                <w:sz w:val="22"/>
                <w:szCs w:val="22"/>
                <w:lang w:val="pt-BR"/>
              </w:rPr>
              <w:t>Barra de Ferro 1/2"(12.5mm) CA 50 - Cada barra com 12 metros comprimento seção redonda com superfície nervurada - Fabricado conforme especificações da</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12 metros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de ferro 1/4"(6,3mm)-CA50, Cada Barra com 12 metros comprimento seção  redonda com superfície nervurado-Fabricado conforme especificações da norma NBR7480.</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20</w:t>
            </w:r>
          </w:p>
        </w:tc>
        <w:tc>
          <w:tcPr>
            <w:tcW w:w="2191" w:type="pct"/>
            <w:tcBorders>
              <w:top w:val="single" w:color="auto" w:sz="4" w:space="0"/>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rPr>
              <w:t>Barra de Ferro 3/16"(4.2mm) CA 60 - Cada barra com 12 metros comprimento seção redonda com superfície nervurada - Fabricado conforme especificações da norma NBR 7480.</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12 metros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9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21</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2"/>
              <w:shd w:val="clear" w:color="auto" w:fill="FFFFFF"/>
              <w:spacing w:line="240" w:lineRule="auto"/>
              <w:jc w:val="both"/>
              <w:textAlignment w:val="baseline"/>
              <w:rPr>
                <w:rFonts w:hint="default" w:ascii="Arial" w:hAnsi="Arial" w:cs="Arial"/>
                <w:b w:val="0"/>
                <w:color w:val="auto"/>
                <w:sz w:val="22"/>
                <w:szCs w:val="22"/>
                <w:lang w:val="pt-BR"/>
              </w:rPr>
            </w:pPr>
            <w:r>
              <w:rPr>
                <w:rFonts w:hint="default" w:ascii="Arial" w:hAnsi="Arial" w:eastAsia="Times New Roman" w:cs="Arial"/>
                <w:b w:val="0"/>
                <w:color w:val="auto"/>
                <w:sz w:val="22"/>
                <w:szCs w:val="22"/>
                <w:lang w:val="pt-BR"/>
              </w:rPr>
              <w:t>Barra de Ferro 3/8 (10.0mm) CA 50 - Cada barra com 12 metros comprimento seção redonda com superfície nervurada - Fabricado conforme especificações da norma NBR 7480</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12 metros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22</w:t>
            </w:r>
          </w:p>
        </w:tc>
        <w:tc>
          <w:tcPr>
            <w:tcW w:w="2191" w:type="pct"/>
            <w:tcBorders>
              <w:top w:val="single" w:color="auto" w:sz="4" w:space="0"/>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rPr>
              <w:t>Barra de Ferro 5.0mm CA 60 -Cada barra com 12 metros comprimento seção redonda com superfície nervurada - Fabricado conforme especificações da norma NBR 7480.</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12 metros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Barra de Ferro 5/16"(8.0mm)CA50 cada barra com 12 metros comprimento seção redonda com superfície nervurado-Fabricado conformes especificações da norma NBR7480.</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Canaleta 0,10 - 09x19x39Cm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Canaleta 0,15 - 14x19x39 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Canaleta 0,20 - 19x19x39Cm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de Cimento 0.10 com fundo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de Cimento 0.15 com fundo Inteiro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29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de Cimento 0.15 Vazado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de Cimento 0.20 com fundo Inteiro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Bloco de Cimento 0.20 Vazado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Bóia para caixa d água ½  ajustável para 3/4</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Boia Para Caixa D’água Anti Corrosiva vazão máxima ¾- reforçada,para alta pressão,pressões deaté140m.c.a,com a garantia e qualidade da marca.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25mm-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35mm-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40mm-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45mm-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50mm-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39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60mm-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1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Cadeado 70mm- latão- com chaves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acoplada cor branca Botão superior com acionamento duplo 3/6L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Coletora 240X240X200mm Água Pluvial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 água,confeccionada em polietileno com tampa capacidade 5000 litros –modelo redonda fabricada conforme norma NBR 14800 daABNT.OBS.COM TAMPA ROSCA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d’água,confeccionada em polietileno com tampa capacidade de 1000 litros- Modelo redonda fabricada conforme norma NBR14799 da ABNT. Procedimentos de instalação conforme normaNBR14800da ABNT.</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d’água,confeccionada em polietileno com tampa capacidade de 250 litros-Modelo redonda fabricada conforme norma NBR14799 da ABNT.Procedimentos de instalação conforme norma NBR14800 da ABNT.</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d’água,confeccionada em polietileno com tampa capacidade de 500 litros-Modelo redonda fabricada conforme norma NBR14799daABNT.Procedimentos de instalação conforme norma NBR14800 da ABNT.</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Esgoto 95X100cm de concreto,para instalação em passeio-modelo/tipo redonda.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Gordura 10Litros Tampa com Alça Sifonada ( não retorna o cheiro da rede  de esgoto) Caixa com 3 Entradas de40 ou 50mm 1 Saída de 75mm Capacidade de 10 Litros Tampa: 27cmx27cm Altura: 26cm Base:24,5cm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49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Luz Em Metal Octagonal Fundo Móvel Simples Fms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parede 2X4 latão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parede 2X4pvc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6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 de Passagem /Inspeção /Esgoto/Elétrica, Utilizada para coletar toda água proveniente do esgoto, podendo ser utilizada para Ligações elétricas subterrâneas ou telefonia. São indicadas para redes enterradas de drenagem pluvial ate N100 em obras residências ou comerciais. Fabricada em Polipropileno(PP)-Resistente de fácil manuseio e instalação.Medidas:44x35x41cm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De</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Gordura</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Sifonado</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250X 170 X50mm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CAIXAS I FONADA MONTADA C/ GRELHAE PORTA GRELHADN150X150X50(COM7ENTRADAS).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Cal Hidratada tradicional embalagem saco com 20Kilos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Sacos20kg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Cal para pintura com fixador embalagem 8kg–Rendimento acima de 50m² por de mão.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Cal Virgem em pedra ou em pó embalagem saco com 20Kilos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Saco20kg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Cantoneira para boca de lobo. Dimensões 110x35x15cm (FCK) -&gt; 21 MPA BOCA DE LOBO PADRÃO SUDECAP</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59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18 PARA PORTAO  - 2,00x 1,20 LISA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20 PARA PORTAO  - 2,00x 1,00 ONDULADO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DE AÇO CARBONO 1/4 - 2,0M X 1,20M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DE AÇO CARBONO 1/8 - 2,0M X 1,20M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DE AÇO CARBONO 3/16 - 2,0M X 1,20M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CHAPA XADREZ EM ALUMINIO 1,50 espessura (mm)  X 0,30 a 1,30 relevo (mm ) 1000 largura (mm) 2000 Comprimento (mm)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70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Conjunto boca de lobo padrão SUDECAP Composta por;</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 Quadro (caixilho) para boca de lobo. Dimensões 110x52x10cm (FCK) -&gt;</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21 MPA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 Grelha para boca de lobo ; dimensões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99x44x10cm (FCK) -&gt; 21 MPA.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 Cantoneira para boca de lobo. Dimensões 110x35x15cm (FCK) -&gt;</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21 MPA.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Viga para Boca de Lobo DUPLA. Dimensões 90x25x25cm (FCK) -&gt; 21 MPA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BOCA DE LOBO PADRÃO SUdDECAP</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91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Corrente de aço Galvanizada</w:t>
            </w:r>
            <w:r>
              <w:rPr>
                <w:rFonts w:hint="default" w:ascii="Arial" w:hAnsi="Arial" w:eastAsia="Times New Roman" w:cs="Arial"/>
                <w:color w:val="auto"/>
                <w:sz w:val="22"/>
                <w:szCs w:val="22"/>
                <w:lang w:val="pt-BR" w:eastAsia="pt-BR"/>
              </w:rPr>
              <w:t xml:space="preserve"> 13,0mm – descrição mínima Diâmetro Pol/mm  1/2 ”/13,0mm  , Elos curtos peso aproximado metro/kg 3.16kg norma de referencia ABNT NBR 15293</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24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Corrente de aço Galvanizada</w:t>
            </w:r>
            <w:r>
              <w:rPr>
                <w:rFonts w:hint="default" w:ascii="Arial" w:hAnsi="Arial" w:eastAsia="Times New Roman" w:cs="Arial"/>
                <w:color w:val="auto"/>
                <w:sz w:val="22"/>
                <w:szCs w:val="22"/>
                <w:lang w:val="pt-BR" w:eastAsia="pt-BR"/>
              </w:rPr>
              <w:t xml:space="preserve"> 16,0mm – descrição mínima  Diâmetro Pol/mm  5/8 ”/15.50mm  , Elos curtos peso aproximado metro/kg 4,932kg norma de referencia ABNT NBR 15293</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8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Corrente de aço zincada</w:t>
            </w:r>
            <w:r>
              <w:rPr>
                <w:rFonts w:hint="default" w:ascii="Arial" w:hAnsi="Arial" w:eastAsia="Times New Roman" w:cs="Arial"/>
                <w:color w:val="auto"/>
                <w:sz w:val="22"/>
                <w:szCs w:val="22"/>
                <w:lang w:val="pt-BR" w:eastAsia="pt-BR"/>
              </w:rPr>
              <w:t xml:space="preserve"> 4mm – descrição mínima  Diâmetro Pol/mm  5/32”/4mm, Elos 15x27(mm), Peso (kgf/m) 0,290 </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69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Corrente de aço zincada</w:t>
            </w:r>
            <w:r>
              <w:rPr>
                <w:rFonts w:hint="default" w:ascii="Arial" w:hAnsi="Arial" w:eastAsia="Times New Roman" w:cs="Arial"/>
                <w:color w:val="auto"/>
                <w:sz w:val="22"/>
                <w:szCs w:val="22"/>
                <w:lang w:val="pt-BR" w:eastAsia="pt-BR"/>
              </w:rPr>
              <w:t xml:space="preserve"> 6,5mm – descrição mínima  Diâmetro Pol/mm  1/4”/ 6,5mm, Elos 24x42(mm), Peso (kgf/m) 0,957</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Corrente de aço zincada</w:t>
            </w:r>
            <w:r>
              <w:rPr>
                <w:rFonts w:hint="default" w:ascii="Arial" w:hAnsi="Arial" w:eastAsia="Times New Roman" w:cs="Arial"/>
                <w:color w:val="auto"/>
                <w:sz w:val="22"/>
                <w:szCs w:val="22"/>
                <w:lang w:val="pt-BR" w:eastAsia="pt-BR"/>
              </w:rPr>
              <w:t xml:space="preserve"> 9,5mm – descrição mínima  Diâmetro Pol/mm  3/8”/ 9,5mm  , Elos 35x53(mm), Peso (kgf/m) 1,855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Dobradiça para porta 2.1/2"em Aço cromado pacote com 3 peças e 18 parafusos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Conjc/3peças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Dobradiça para porta 3"em Aço cromado pacote com 3 peça se 18 para fusos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140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Conjc/3peças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Dobradiça para porta 3.1/2" em Aço cromado pacote com 3 peças e 18 parafusos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Conjc/3peças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Dobradiça para porta 4" reforçada em Aço Carbono </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Dobradiça para porta 4. 1/2"  reforçada em Aço Carbono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Embolo Completo P/Válvula Hydra Luxo/ máster Cód:6040</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81"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Fechadura Elétrica Dupla de sobrepor -12v Modelo referencia C-90Hdl  Fechadura Elétrica para portão que abre para dentro,tanto abertura para direita ou esquerda!Especificações </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Voltagem12vcc</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Ajuste para portas leves e pesadas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Proteção contra destrava mento por impacto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Cilindro fixo com 4cmdecomprimento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Fácil instalação Itens Inclusos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 Fechadura Elétrica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 Kit contra chapa para fixação em batente</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1Chapa de acabamento d o cilindro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w:t>
            </w:r>
            <w:r>
              <w:rPr>
                <w:rFonts w:hint="default" w:ascii="Arial" w:hAnsi="Arial" w:eastAsia="Times New Roman" w:cs="Arial"/>
                <w:color w:val="auto"/>
                <w:sz w:val="22"/>
                <w:szCs w:val="22"/>
                <w:lang w:val="en-US" w:eastAsia="pt-BR"/>
              </w:rPr>
              <w:t xml:space="preserve"> </w:t>
            </w:r>
            <w:r>
              <w:rPr>
                <w:rFonts w:hint="default" w:ascii="Arial" w:hAnsi="Arial" w:eastAsia="Times New Roman" w:cs="Arial"/>
                <w:color w:val="auto"/>
                <w:sz w:val="22"/>
                <w:szCs w:val="22"/>
                <w:lang w:val="pt-BR" w:eastAsia="pt-BR"/>
              </w:rPr>
              <w:t>3Chaves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 Manual do usuário e Termo de Garantia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 Gabarito de instalação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Parafusos para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Montagem Garantia 12 meses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Fechadura Externa,modelo da maçaneta;Taco de Golf.Cores;bronze ou cromado.Com mínimo duas chaves.Tipo dos materiais de fabricação;Maçaneta zamac,roseta metal aço inox,maquina Metal Aço e Zamac.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42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79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Fechadura para banheiro, modelo da maçaneta T aço de Golf.Cores;bronze ou cromado.Com no mínimo duas chaves Tipo dos materiais de fabricação;Maçaneta zamac,roseta metal aço inox,maquina metal Aço e Zamac.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Fechadura para metalon 50x30</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unidades </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Fixador para cal e tinta de pintura embalagem de150ml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Flange Ajustável com Anel Soldável Ajustável 20mm 1/2"PVC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Flange Ajustável com Anel Soldável Ajustável 25mm3/4"PVC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Flange Ajustável com Anel Soldável Ajustável 40mm 1.1/4"PVC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Flange Ajustável com Anel Soldável Ajustável 50mm 1.1/2"PVC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Flange Ajustável comAnelSoldávelAjustável32mm1"PVC</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Grelha para boca de lobo ; dimensões 99x44x10cm (FCK) -&gt; 21 MPA. BOCA DE LOBO PADRÃO SUDECAP</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75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782"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Interfone residencial.Sem tela Especificações Técnicas: •  Material: Plástico ABS e alumínio; •  Compatível Fechadura Elétrica:12V(Aciona qualquer modelo de fechadura oufecho12V);</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Freqüência:50/60 Hz;</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Alimentação: 127/220Vac(auto-ajuste);</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Número de Extensão Externas:1;</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Números de extensões internas:3+1 (inclusa);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Cor:Alumínio natural e plástico ABS;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Aplicação: Porteiro Eletrônico deus o residencial;</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Instalação: 2 fios entre o painel e o interfone interno+ 2fiosparaa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rede elétrica no painel;</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Fixação: Sobrepor;</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Modelo: Porteiro Eletrônico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Garantia de 12 meses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89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Janela de Abrir Basculante de Aço 0,60x0,60m garantia do fabricante 60 meses.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Janela Veneziana Aço 04 Folhas com Grade Elo 100cmx120cm 7cm. Garantia do fabricante 60 meses.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Janela Veneziana Aço 06 Folhas com Grade Elo 100cmx150cm x 7cm.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Kit de Banheiro com 5 Peças em Aço Inox. Com os itens1saboneteira,1papeleira, 1 cabide,1porta toalhas rosto e 1 porta toalhas bastão.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Kit Reparo Completo Docol – kit reparo para válvula descarga.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Lavatório com coluna de louça cor branco medidas aproximadas do Produto com Embalagem (cm)-AxLxP:16x 47x36. Largura (cm): 48cm,Profundidade (cm):35cm,Altura(cm): 15cm.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Lona Dupla face Preta e Branca 200 Micra 08m x20m - Medida: 08 metros de largura por 20 metros de comprimento e 8 meses de garantia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05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Rolo de,20 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Lona Dupla Face Preta e Branca(4mx 100m40 kg) ref150 micras 8 meses de garantia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05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Rolo de100</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Lona Plástica Preta 04 Metros de Largura, Rolo com 100 Metros 40 Kg ou 150 Micra ou 0.15 mm. 6 meses de Garantia.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08</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Rolo de 100 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Eletroduto Flexível Corrugado PVC DN 20 mm 1/2" Amarela.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99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Eletroduto Flexível Corrugado PVC DN 25 mm 3/4" Amarela.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750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Eletroduto Flexível Corrugado PVC DN 32 mm 1" Amarela.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750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Eletroduto Flexível Corrugado PVC DN 40 mm 1.1/4" Cinza/Preta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Plástica Azul para água (baixa pressão) Dimensão: 1,5mm (parede) x 3/4" (bitola)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Mangueira Plástica Azul para água (baixa pressão) Dimensão: 2,0mm (parede) x 1" (bitola) x 100m (comprimento)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Metros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Massa plástica com catalisador 400 gramas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Mecanismo completo para caixa acoplada com entrada 300mm e saída 243mm K3024/NI Astra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Mecanismo de Acionamento Luxo Máster 4336 004.</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Metalon 50 x 30 chapa 18 barra com 6,0 metros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108</w:t>
            </w:r>
          </w:p>
        </w:tc>
        <w:tc>
          <w:tcPr>
            <w:tcW w:w="2191"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Mictório para banheiro masculino, na cor branco com sifão integrado para válvula embutida M714, Dimensões 38x60cm.</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Und</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109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Parafuso castelo para vaso fixação de sanitário cor cromado - com kit completo buchas 8mm, canopla e Calota.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Kit c/02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Parafuso para Telha com Arruela E Vedação 5/16x150mm – Pacote com 100 Peças Zincado.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Pacote</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Pia de Cozinha - Pia Sintética Standart 120x56cm cor branco Gelo, Garantia: Garantia de 3 meses em caso de defeito de fabricação.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externo Pi5; medindo no mínimo 45x45cm Borda Arredondada.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interno Pi4, barro vermelho, medindo no mínimo 45x45cm, borda arredondada. Cores; banco, bege claro, cinza claro e outras netas linhas e a ser definida na autorização de Compra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interno Pi5 barro vermelho medindo no mínimo 45x45cm borda arredondada antiderrapante cor branco fosco.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RETIFICADO interno Pi4, barro vermelho ou branco, medindo no mínimo 45x45cm, borda retificado. Cores; banco, bege claro, cinza claro e outras nestas linhas e a ser definida na autorização de Compra.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Revestimento parede externo Pi4; medindo no mínimo 32x57cm cores lisas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Piso Cerâmico Esmaltado Revestimento parede interno Pi4; medindo no mínimo 32x57cm cores lisas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de Prancheta sucupira 100 CM, dimensões (1/02x2.10x3,5)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119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de Prancheta sucupira 60 CM, dimensões (62x2.10x3,5)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de Prancheta sucupira 70 CM, dimensões (72x2.10x3,5)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de Prancheta sucupira 80 CM, dimensões (82x2.10x3,5)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de Prancheta sucupira 90 CM, dimensões (92x2.10x3,5)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Montada de Giro Veneziana Aço 217x67x6,5cm Cinza garantia do fabricante de 60 meses. Acompanha; batente, fechadura e dobradiças. Lado será definido na autorização de compra.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Montada de Giro Veneziana Aço 217x87x12cm Cinza garantia do fabricante de 60 meses. Acompanha; batente, fechadura e dobradiças. Lado será definido na autorização de compra.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130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Montada de Giro Veneziana Aço, 217x77x6,5cm Cinza garantia do fabricante de 60 meses. Acompanha; batente, fechadura e dobradiças. Lado será definido na autorização de compra.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prancheta de Estrutura Sólida sucupira 100 CM, dimensões (102x2.10x3,5)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prancheta de Estrutura Sólida sucupira 80 CM, dimensões (82x2.10x3,5)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 prancheta de Estrutura Sólida sucupira 90 CM, dimensões (92x2.10x3,5)</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129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Portal de madeira maciça sucupira para parede de 10cm mínimo (0,13x0,80x2,15m) 0,13cm lagura 2,15m altura 0,80m espaçamento e já pré montado, composto por 03 peças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Portal de madeira maciça sucupira para parede de 15cm mínimo (0,18x0,80x2,15m) 0,18cm largura 2,15m altura 0,80m espaçamento e já pré montado, composto por 03 peças.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Portal de madeira maciça sucupira para parede de 20cm mínimo (0,23x0,80x2,15m) 0,23cm largura 2,15m altura 0,80m espaçamento e já pré montado, composto por 03 peças.</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15x15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15x21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17x21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17x27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18x27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18x30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19x36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139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20x30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26x78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141</w:t>
            </w:r>
          </w:p>
        </w:tc>
        <w:tc>
          <w:tcPr>
            <w:tcW w:w="2191" w:type="pct"/>
            <w:tcBorders>
              <w:top w:val="single" w:color="auto" w:sz="4" w:space="0"/>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rPr>
              <w:t>Prego com cabeça 26x78 galvanizado PCT 1 kilo cada</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Kg </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com cabeça dupla 18x30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Grampo 1x9 para Cerca Galvanizado PCT 1 Kilo cada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Kg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para Telha com Vedação 18x27 - Galvanizado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Pac. 500g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Prego para Telha com Vedação 18x36 - Galvanizado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Pac. 500g</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Quadro (caixilho) para boca de lobo. Dimensões 110x52x10cm (FCK) -&gt; 21 MPA  BOCA DE LOBO PADRÃO SUDECAP</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71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Rejunte flexível comum para cerâmica. Descrição mínima Tipo II, conforme NBR 4.992.Retenção de água: &lt; 65 mm, Variação dimensional: -2,00 a 2,00 mm/m, Resistência à compressão: = 10 MPa, Resistência à flexão: = 3 MPa, Absorção de água por capilaridade: = 0,30 g/cm², Permeabilidade: = 1 cm³ indicado para Juntas de assentamento: 2 mm até 10 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Reparo em válvula de descarga Hydra Max , Serve para válvulas de 2 Tamanhos e Medidas1 1/4" e 1 1/2".</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149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Reparo Oriente Para Válvula De Descarga Primor 45mm Antiga.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Reparo para caixa acoplada - Botão SUPERIOR Universal Mecanismo Universal para Caixa de descarga acoplada, sistema simples, prático e econômico.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Reparo para Válvula Hydra Luxo/Máster.</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Sifão copo universal com tubo sanfonado 40x50mm branco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228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Sifão Sanfona do Com Copo Universal Cromado. Sifão Sanfonado Universal Cromado com Copo Para Limpeza Indicado para instalação de pias, lavatórios e tanques;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Produzido em plástico de engenharia polipropileno (PP);</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Resistente a temperaturas quente e fria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Peça única evitando vazamentos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Diversas situações de entrada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256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SIRENE ELETROMECÂNICA - 1500M 220V 0.6A Descrição do Produto Tensão Elétrica : 220V Pressão Sonora: 123,2dB/M</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Consumo: 0,6ª Cor: Cinza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Material: Metal</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Modelo Referencia: EG- 101</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Produto: Sirene Tipo: Eletromecânica Tipo de Som: Contínuo Base: Fixa Distância Sonora: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1500m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70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Sirene Rotativa Escolar Industrial Dp300 Metros 110v Características do Produto: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Cobre uma área aproximada de 300m. Atinge 105dB a 1m.</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Voltagem: 110v</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Potência: 60 Watts. Corrente: 0,5A - 127VAC</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 12 VDC.</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Freqüência: 50/60 Hz. Medidas (mm): 138 x 98</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x 85.</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Peso:Aproximado 650g. Tempo máximo de uso contínuo: 15 minutos.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Garantia de 01 ano. Possibilita a ligação em paralelo no Acionador de Sirene DPSIN, respeitando o limite de 5ª</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Tanque Sintético Duplo Standart Granitado 110x55cm, Dimensões; Comprimento: 110cm, Altura: 27cm, Largura: 55cm Garantia de 3 meses em caso de defeito de fabricação.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de cimento amianto (Fibrocimento) ondulada simples 1,53 X 1,10m espessura 05mm.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700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de cimento amianto (Fibrocimento) ondulada simples 1,83 X 1,10m espessura 05mm.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159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de cimento amianto (Fibrocimento) ondulada simples 2,44 X ,0,50m espessura 03mm.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de cimento amianto (Fibrocimento) ondulada simples 2,44 X 1,10m espessura 05mm.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1800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161</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2"/>
              <w:shd w:val="clear" w:color="auto" w:fill="FFFFFF"/>
              <w:spacing w:line="240" w:lineRule="auto"/>
              <w:jc w:val="both"/>
              <w:textAlignment w:val="baseline"/>
              <w:rPr>
                <w:rFonts w:hint="default" w:ascii="Arial" w:hAnsi="Arial" w:cs="Arial"/>
                <w:b w:val="0"/>
                <w:color w:val="auto"/>
                <w:sz w:val="22"/>
                <w:szCs w:val="22"/>
                <w:lang w:val="pt-BR"/>
              </w:rPr>
            </w:pPr>
            <w:r>
              <w:rPr>
                <w:rFonts w:hint="default" w:ascii="Arial" w:hAnsi="Arial" w:cs="Arial"/>
                <w:b w:val="0"/>
                <w:color w:val="auto"/>
                <w:sz w:val="22"/>
                <w:szCs w:val="22"/>
                <w:lang w:val="pt-BR"/>
              </w:rPr>
              <w:t>Telha de PVC modelo  Plan Cerâmica 2,42x0,88m</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Cor; </w:t>
            </w:r>
            <w:r>
              <w:rPr>
                <w:rFonts w:hint="default" w:ascii="Arial" w:hAnsi="Arial" w:eastAsia="Times New Roman" w:cs="Arial"/>
                <w:color w:val="auto"/>
                <w:sz w:val="22"/>
                <w:szCs w:val="22"/>
                <w:lang w:eastAsia="pt-BR"/>
              </w:rPr>
              <w:t xml:space="preserve">Cerâmica - </w:t>
            </w:r>
            <w:r>
              <w:rPr>
                <w:rFonts w:hint="default" w:ascii="Arial" w:hAnsi="Arial" w:eastAsia="Times New Roman" w:cs="Arial"/>
                <w:b/>
                <w:bCs/>
                <w:color w:val="auto"/>
                <w:sz w:val="22"/>
                <w:szCs w:val="22"/>
                <w:lang w:eastAsia="pt-BR"/>
              </w:rPr>
              <w:t xml:space="preserve">Modelo </w:t>
            </w:r>
            <w:r>
              <w:rPr>
                <w:rFonts w:hint="default" w:ascii="Arial" w:hAnsi="Arial" w:eastAsia="Times New Roman" w:cs="Arial"/>
                <w:color w:val="auto"/>
                <w:sz w:val="22"/>
                <w:szCs w:val="22"/>
                <w:lang w:eastAsia="pt-BR"/>
              </w:rPr>
              <w:t>Plan</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Material </w:t>
            </w:r>
            <w:r>
              <w:rPr>
                <w:rFonts w:hint="default" w:ascii="Arial" w:hAnsi="Arial" w:eastAsia="Times New Roman" w:cs="Arial"/>
                <w:color w:val="auto"/>
                <w:sz w:val="22"/>
                <w:szCs w:val="22"/>
                <w:lang w:eastAsia="pt-BR"/>
              </w:rPr>
              <w:t xml:space="preserve">Plástico- </w:t>
            </w:r>
            <w:r>
              <w:rPr>
                <w:rFonts w:hint="default" w:ascii="Arial" w:hAnsi="Arial" w:eastAsia="Times New Roman" w:cs="Arial"/>
                <w:b/>
                <w:bCs/>
                <w:color w:val="auto"/>
                <w:sz w:val="22"/>
                <w:szCs w:val="22"/>
                <w:lang w:eastAsia="pt-BR"/>
              </w:rPr>
              <w:t xml:space="preserve">Tipo de Material </w:t>
            </w:r>
            <w:r>
              <w:rPr>
                <w:rFonts w:hint="default" w:ascii="Arial" w:hAnsi="Arial" w:eastAsia="Times New Roman" w:cs="Arial"/>
                <w:color w:val="auto"/>
                <w:sz w:val="22"/>
                <w:szCs w:val="22"/>
                <w:lang w:eastAsia="pt-BR"/>
              </w:rPr>
              <w:t>PVC</w:t>
            </w:r>
          </w:p>
          <w:p>
            <w:pPr>
              <w:spacing w:line="240" w:lineRule="auto"/>
              <w:jc w:val="both"/>
              <w:rPr>
                <w:rFonts w:hint="default" w:ascii="Arial" w:hAnsi="Arial" w:cs="Arial"/>
                <w:color w:val="auto"/>
                <w:sz w:val="22"/>
                <w:szCs w:val="22"/>
                <w:lang w:val="pt-BR"/>
              </w:rPr>
            </w:pPr>
            <w:r>
              <w:rPr>
                <w:rFonts w:hint="default" w:ascii="Arial" w:hAnsi="Arial" w:eastAsia="Times New Roman" w:cs="Arial"/>
                <w:b/>
                <w:bCs/>
                <w:color w:val="auto"/>
                <w:sz w:val="22"/>
                <w:szCs w:val="22"/>
                <w:lang w:eastAsia="pt-BR"/>
              </w:rPr>
              <w:t xml:space="preserve">Largura </w:t>
            </w:r>
            <w:r>
              <w:rPr>
                <w:rFonts w:hint="default" w:ascii="Arial" w:hAnsi="Arial" w:eastAsia="Times New Roman" w:cs="Arial"/>
                <w:color w:val="auto"/>
                <w:sz w:val="22"/>
                <w:szCs w:val="22"/>
                <w:lang w:eastAsia="pt-BR"/>
              </w:rPr>
              <w:t xml:space="preserve">88 cm </w:t>
            </w:r>
            <w:r>
              <w:rPr>
                <w:rFonts w:hint="default" w:ascii="Arial" w:hAnsi="Arial" w:eastAsia="Times New Roman" w:cs="Arial"/>
                <w:b/>
                <w:bCs/>
                <w:color w:val="auto"/>
                <w:sz w:val="22"/>
                <w:szCs w:val="22"/>
                <w:lang w:eastAsia="pt-BR"/>
              </w:rPr>
              <w:t xml:space="preserve">Comprimento </w:t>
            </w:r>
            <w:r>
              <w:rPr>
                <w:rFonts w:hint="default" w:ascii="Arial" w:hAnsi="Arial" w:eastAsia="Times New Roman" w:cs="Arial"/>
                <w:color w:val="auto"/>
                <w:sz w:val="22"/>
                <w:szCs w:val="22"/>
                <w:lang w:eastAsia="pt-BR"/>
              </w:rPr>
              <w:t xml:space="preserve">2,42 cm </w:t>
            </w:r>
            <w:r>
              <w:rPr>
                <w:rFonts w:hint="default" w:ascii="Arial" w:hAnsi="Arial" w:eastAsia="Times New Roman" w:cs="Arial"/>
                <w:b/>
                <w:bCs/>
                <w:color w:val="auto"/>
                <w:sz w:val="22"/>
                <w:szCs w:val="22"/>
                <w:lang w:eastAsia="pt-BR"/>
              </w:rPr>
              <w:t xml:space="preserve">Espessura </w:t>
            </w:r>
            <w:r>
              <w:rPr>
                <w:rFonts w:hint="default" w:ascii="Arial" w:hAnsi="Arial" w:eastAsia="Times New Roman" w:cs="Arial"/>
                <w:color w:val="auto"/>
                <w:sz w:val="22"/>
                <w:szCs w:val="22"/>
                <w:lang w:eastAsia="pt-BR"/>
              </w:rPr>
              <w:t>1,6 mm</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Galvalume Trapezoidal 0,43MM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M2</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163</w:t>
            </w:r>
          </w:p>
        </w:tc>
        <w:tc>
          <w:tcPr>
            <w:tcW w:w="2191" w:type="pct"/>
            <w:tcBorders>
              <w:top w:val="single" w:color="auto" w:sz="4" w:space="0"/>
              <w:left w:val="nil"/>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eastAsia="Times New Roman" w:cs="Arial"/>
                <w:color w:val="auto"/>
                <w:sz w:val="22"/>
                <w:szCs w:val="22"/>
              </w:rPr>
              <w:t xml:space="preserve">Telha Ondulada em Fibrocimento 6mm 3,05x1,10 Metros </w:t>
            </w: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500</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Unidades </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Plan barro vermelho - A telha plan tem formas retas, e remete a estética da telha colonial.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6200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Portuguesa  barro vermelho ou tipo (americana) A telha portuguesa tem formato que tem uma metade abaloada</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Telha romana barro vermelho - A telha romana possui formato plano.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Tijolinho comum - Tijolo Maciço com medidas aproximadas de 5,5x11x23cm.com medidas aproximadas de</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Tijolos cerâmicos furado 0,10 - medindo 0,9cmX 19cm X 29cm.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169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Tijolos cerâmicos furado 0,12 - medindo 0,11cmX 19cm X 29cm.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40.000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 xml:space="preserve">Unidades </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Tijolos cerâmicos furado 0,15 - medindo 0,14cmX 19cm X 29cm.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80.000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Treliça Tb 8x12com ferro 6,3X4,2mm- Barra de 6 metros- produzida com aço CA60 nervurado em todos os fios de sua composição.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172</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Tubo Extensivo Duplo, Modelo, Universal Plástico Branco (sifão) 1", 1.1/2" e 1.1/4" comprimento mínimo 29cm e Maximo 70cm.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Tubo Extensivo simples, Modelo, Universal Plástico Branco (sifão) 1", 1.1/2" e 1.1/4"comprimento mínimo 29cm e Maximo 70cm.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739"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Tubo galvanizado redondo 02 polegadas (50mm) Tubo de Aço Carbono Galvanizado à Fogo pelo Processo de Imersão a Quente, Normatizado NBR 5580. Barras com 6 metros de comprimento com rosca BSP e tampão protetor de plásticos nas pontas.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Especificações técnicas: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Norma: NBR 5580</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Bitola : 2"</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Diâmetro externo: 60,30</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Comprimento: 06 Metros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Espessura: 3,00 mm</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Extremidades: Lisas (corte reto) / Rosqueadas (BSP ou NPT).</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Classe de pressão: 150 LBS.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Testes: Eddy Current ou Hidrostático.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Tipo de Solda: Material com costura, soldados por resistência elétrica de alta freqüência.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Tolerâncias de Fabricação: Espessura: 12,5% / Comprimento: ± 50mm.</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Acabamento: Sem rebarba (RIR) / Protetores plásticos nas pontas /</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Gravação Longitudinal.</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Processo de Galvanização: Tubo de Aço Carbono Galvanizado a Fogo pelo processo de Imersão a quente através de 05 processos: Desengraxante: Banho de Hidróxido de Sódio para remoção de óleos e graxas.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Decapagem: As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peças são decapadas em acido clorídrico para remoção de camadas de oxidação.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Fluxagem: Composta por Cloreto de Amônio e Cloreto de Zinco tem o objetivo de garantir 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uniformidade da galvanização.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Zincagem: Banho de zinco derretido cujo objetivo é revestir toda a barra com uma camada protetora.</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Passivação: Soluções a base de Ácido Crômico e Bicromatos para evitar o inicio de oxidação.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Tubo redondo 2 polegadas parede 2mm (chapa 14) barra com 06 metros cada, material aço carbono.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2058"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Válvula Americana Para Pias Cubas E Tanques Metal 3.1/2. Fabricada em metal de alta qualidade.</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Porca de aperto também em metal.</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Acompanha cestinha de ABS.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Possui anéis de vedação, que proporcionam melhor ajuste.</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Diâmetro do encaixe na pia: 3.1/2 (PARTE SUPERIOR).</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Diâmetro saída: 1.1/2 (PARTE INFERIOR).</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71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177</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Válvula Americana Para Pias Cubas E Tanques Metal aço inox 3.1/2. Material: Aço Inox 304; Vedação: Polímero de alta vedação; Dimensões: 3 ½” padrão; Diâmetro sifão: 47 mm (padrão de mercado); Acabamento: inox fosco; Garantia: 5 anos contra defeitos de fabricação; Acompanha: tampa, cesto, corpo da válvula e anéis de vedação.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90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114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178</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Válvula Tanque 1 1/2 PVC Fabricadas em PP (Polipropileno); Cor: Branco; Saída roscável em 1.1/2; Resistente a temperaturas de até 60°C;NBR 15423 – Válvulas de escoamento;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179</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Vaso sanitário  convencional cor banca formato oval.</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80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180</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Vaso Sanitário com caixa acoplada 3/6L na cor branca, Formato quadrado Tipo de Acionamento: duplo, Posição do Acionamento Superior.</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120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181</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Vaso sanitário convencional cor branca formato quadrado.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100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182</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2"/>
              <w:shd w:val="clear" w:color="auto" w:fill="FFFFFF"/>
              <w:spacing w:line="240" w:lineRule="auto"/>
              <w:jc w:val="both"/>
              <w:textAlignment w:val="baseline"/>
              <w:rPr>
                <w:rFonts w:hint="default" w:ascii="Arial" w:hAnsi="Arial" w:cs="Arial"/>
                <w:color w:val="auto"/>
                <w:sz w:val="22"/>
                <w:szCs w:val="22"/>
                <w:lang w:val="pt-BR"/>
              </w:rPr>
            </w:pPr>
            <w:r>
              <w:rPr>
                <w:rFonts w:hint="default" w:ascii="Arial" w:hAnsi="Arial" w:cs="Arial"/>
                <w:color w:val="auto"/>
                <w:sz w:val="22"/>
                <w:szCs w:val="22"/>
                <w:lang w:val="pt-BR"/>
              </w:rPr>
              <w:t>Vaso Sanitário Especial Saída Vertical Acesso Plus Com abertura na frente.</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Saída Vaso Sanitário </w:t>
            </w:r>
            <w:r>
              <w:rPr>
                <w:rFonts w:hint="default" w:ascii="Arial" w:hAnsi="Arial" w:eastAsia="Times New Roman" w:cs="Arial"/>
                <w:color w:val="auto"/>
                <w:sz w:val="22"/>
                <w:szCs w:val="22"/>
                <w:lang w:eastAsia="pt-BR"/>
              </w:rPr>
              <w:t>Vertical</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Formato </w:t>
            </w:r>
            <w:r>
              <w:rPr>
                <w:rFonts w:hint="default" w:ascii="Arial" w:hAnsi="Arial" w:eastAsia="Times New Roman" w:cs="Arial"/>
                <w:color w:val="auto"/>
                <w:sz w:val="22"/>
                <w:szCs w:val="22"/>
                <w:lang w:eastAsia="pt-BR"/>
              </w:rPr>
              <w:t>Oval</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Cor </w:t>
            </w:r>
            <w:r>
              <w:rPr>
                <w:rFonts w:hint="default" w:ascii="Arial" w:hAnsi="Arial" w:eastAsia="Times New Roman" w:cs="Arial"/>
                <w:color w:val="auto"/>
                <w:sz w:val="22"/>
                <w:szCs w:val="22"/>
                <w:lang w:eastAsia="pt-BR"/>
              </w:rPr>
              <w:t xml:space="preserve">Branco  </w:t>
            </w:r>
            <w:r>
              <w:rPr>
                <w:rFonts w:hint="default" w:ascii="Arial" w:hAnsi="Arial" w:eastAsia="Times New Roman" w:cs="Arial"/>
                <w:b/>
                <w:bCs/>
                <w:color w:val="auto"/>
                <w:sz w:val="22"/>
                <w:szCs w:val="22"/>
                <w:lang w:eastAsia="pt-BR"/>
              </w:rPr>
              <w:t xml:space="preserve">Tonalidade </w:t>
            </w:r>
            <w:r>
              <w:rPr>
                <w:rFonts w:hint="default" w:ascii="Arial" w:hAnsi="Arial" w:eastAsia="Times New Roman" w:cs="Arial"/>
                <w:color w:val="auto"/>
                <w:sz w:val="22"/>
                <w:szCs w:val="22"/>
                <w:lang w:eastAsia="pt-BR"/>
              </w:rPr>
              <w:t>Branco</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Altura </w:t>
            </w:r>
            <w:r>
              <w:rPr>
                <w:rFonts w:hint="default" w:ascii="Arial" w:hAnsi="Arial" w:eastAsia="Times New Roman" w:cs="Arial"/>
                <w:color w:val="auto"/>
                <w:sz w:val="22"/>
                <w:szCs w:val="22"/>
                <w:lang w:eastAsia="pt-BR"/>
              </w:rPr>
              <w:t>43 cm</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Largura </w:t>
            </w:r>
            <w:r>
              <w:rPr>
                <w:rFonts w:hint="default" w:ascii="Arial" w:hAnsi="Arial" w:eastAsia="Times New Roman" w:cs="Arial"/>
                <w:color w:val="auto"/>
                <w:sz w:val="22"/>
                <w:szCs w:val="22"/>
                <w:lang w:eastAsia="pt-BR"/>
              </w:rPr>
              <w:t>36 cm</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Profundidade </w:t>
            </w:r>
            <w:r>
              <w:rPr>
                <w:rFonts w:hint="default" w:ascii="Arial" w:hAnsi="Arial" w:eastAsia="Times New Roman" w:cs="Arial"/>
                <w:color w:val="auto"/>
                <w:sz w:val="22"/>
                <w:szCs w:val="22"/>
                <w:lang w:eastAsia="pt-BR"/>
              </w:rPr>
              <w:t>50 cm</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Dimensão </w:t>
            </w:r>
            <w:r>
              <w:rPr>
                <w:rFonts w:hint="default" w:ascii="Arial" w:hAnsi="Arial" w:eastAsia="Times New Roman" w:cs="Arial"/>
                <w:color w:val="auto"/>
                <w:sz w:val="22"/>
                <w:szCs w:val="22"/>
                <w:lang w:eastAsia="pt-BR"/>
              </w:rPr>
              <w:t>43x36x50 cm</w:t>
            </w:r>
          </w:p>
          <w:p>
            <w:pPr>
              <w:spacing w:line="240" w:lineRule="auto"/>
              <w:jc w:val="both"/>
              <w:rPr>
                <w:rFonts w:hint="default" w:ascii="Arial" w:hAnsi="Arial" w:eastAsia="Times New Roman" w:cs="Arial"/>
                <w:color w:val="auto"/>
                <w:sz w:val="22"/>
                <w:szCs w:val="22"/>
                <w:lang w:eastAsia="pt-BR"/>
              </w:rPr>
            </w:pPr>
            <w:r>
              <w:rPr>
                <w:rFonts w:hint="default" w:ascii="Arial" w:hAnsi="Arial" w:eastAsia="Times New Roman" w:cs="Arial"/>
                <w:b/>
                <w:bCs/>
                <w:color w:val="auto"/>
                <w:sz w:val="22"/>
                <w:szCs w:val="22"/>
                <w:lang w:eastAsia="pt-BR"/>
              </w:rPr>
              <w:t xml:space="preserve">Garantia do Fabricante </w:t>
            </w:r>
            <w:r>
              <w:rPr>
                <w:rFonts w:hint="default" w:ascii="Arial" w:hAnsi="Arial" w:eastAsia="Times New Roman" w:cs="Arial"/>
                <w:color w:val="auto"/>
                <w:sz w:val="22"/>
                <w:szCs w:val="22"/>
                <w:lang w:eastAsia="pt-BR"/>
              </w:rPr>
              <w:t>120 mês</w:t>
            </w:r>
          </w:p>
          <w:p>
            <w:pPr>
              <w:spacing w:line="240" w:lineRule="auto"/>
              <w:jc w:val="both"/>
              <w:rPr>
                <w:rFonts w:hint="default" w:ascii="Arial" w:hAnsi="Arial" w:cs="Arial"/>
                <w:color w:val="auto"/>
                <w:sz w:val="22"/>
                <w:szCs w:val="22"/>
                <w:lang w:val="pt-BR" w:eastAsia="zh-CN"/>
              </w:rPr>
            </w:pPr>
            <w:r>
              <w:rPr>
                <w:rFonts w:hint="default" w:ascii="Arial" w:hAnsi="Arial" w:eastAsia="Times New Roman" w:cs="Arial"/>
                <w:color w:val="auto"/>
                <w:sz w:val="22"/>
                <w:szCs w:val="22"/>
                <w:lang w:val="pt-BR" w:eastAsia="pt-BR"/>
              </w:rPr>
              <w:drawing>
                <wp:inline distT="0" distB="0" distL="0" distR="0">
                  <wp:extent cx="600075" cy="600075"/>
                  <wp:effectExtent l="0" t="0" r="9525" b="9525"/>
                  <wp:docPr id="2" name="Imagem 1" descr="Kit Vaso Sanitário Convencional com abertura e Assento Acesso Celite - 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Kit Vaso Sanitário Convencional com abertura e Assento Acesso Celite - Imagem 4"/>
                          <pic:cNvPicPr>
                            <a:picLocks noChangeAspect="1" noChangeArrowheads="1"/>
                          </pic:cNvPicPr>
                        </pic:nvPicPr>
                        <pic:blipFill>
                          <a:blip r:embed="rId5" cstate="print"/>
                          <a:srcRect/>
                          <a:stretch>
                            <a:fillRect/>
                          </a:stretch>
                        </pic:blipFill>
                        <pic:spPr>
                          <a:xfrm>
                            <a:off x="0" y="0"/>
                            <a:ext cx="600075" cy="600075"/>
                          </a:xfrm>
                          <a:prstGeom prst="rect">
                            <a:avLst/>
                          </a:prstGeom>
                          <a:noFill/>
                          <a:ln w="9525">
                            <a:noFill/>
                            <a:miter lim="800000"/>
                            <a:headEnd/>
                            <a:tailEnd/>
                          </a:ln>
                        </pic:spPr>
                      </pic:pic>
                    </a:graphicData>
                  </a:graphic>
                </wp:inline>
              </w:drawing>
            </w:r>
          </w:p>
          <w:p>
            <w:pPr>
              <w:widowControl/>
              <w:autoSpaceDE/>
              <w:autoSpaceDN/>
              <w:spacing w:line="240" w:lineRule="auto"/>
              <w:jc w:val="both"/>
              <w:rPr>
                <w:rFonts w:hint="default" w:ascii="Arial" w:hAnsi="Arial" w:cs="Arial"/>
                <w:b/>
                <w:bCs/>
                <w:color w:val="auto"/>
                <w:sz w:val="22"/>
                <w:szCs w:val="22"/>
                <w:shd w:val="clear" w:color="auto" w:fill="FFFFFF"/>
                <w:lang w:val="pt-BR"/>
              </w:rPr>
            </w:pPr>
          </w:p>
        </w:tc>
        <w:tc>
          <w:tcPr>
            <w:tcW w:w="386"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53</w:t>
            </w:r>
          </w:p>
        </w:tc>
        <w:tc>
          <w:tcPr>
            <w:tcW w:w="974"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single" w:color="auto" w:sz="4" w:space="0"/>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0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183</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Vaso Sanitário para Caixa Acoplada Branco formato quadrado.</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184</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Vaso Sanitário saída vertical modelo TURCO, na cor branco tonalidade branca, altura 59,5cm  largura 45cm, profundidade 59,5cm.</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30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Und</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3135"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185</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Vídeo Porteiro com Monitor 4.3" Branco Características: Tipo de Equipamento: Porteiro Eletrônico Informações Adicionais: Aceita mais 1 câmera ou</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portão de garagem Função não perturbe Compatível com 1 extensão de vídeo Compatível com até 3 extensões de áudio Entrada para Botoeira Display de 4,3"</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Itens Inclusos:</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módulo interno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módulo externo 1 kit para fixação</w:t>
            </w:r>
            <w:r>
              <w:rPr>
                <w:rFonts w:hint="default" w:ascii="Arial" w:hAnsi="Arial" w:eastAsia="Times New Roman" w:cs="Arial"/>
                <w:color w:val="auto"/>
                <w:sz w:val="22"/>
                <w:szCs w:val="22"/>
                <w:lang w:val="pt-BR" w:eastAsia="pt-BR"/>
              </w:rPr>
              <w:br w:type="textWrapping"/>
            </w:r>
            <w:r>
              <w:rPr>
                <w:rFonts w:hint="default" w:ascii="Arial" w:hAnsi="Arial" w:eastAsia="Times New Roman" w:cs="Arial"/>
                <w:color w:val="auto"/>
                <w:sz w:val="22"/>
                <w:szCs w:val="22"/>
                <w:lang w:val="pt-BR" w:eastAsia="pt-BR"/>
              </w:rPr>
              <w:t>1 manual do usuário Garantia: 1 Ano (ofertada pelo fabricante)</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50</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r>
        <w:tblPrEx>
          <w:tblCellMar>
            <w:top w:w="0" w:type="dxa"/>
            <w:left w:w="70" w:type="dxa"/>
            <w:bottom w:w="0" w:type="dxa"/>
            <w:right w:w="70" w:type="dxa"/>
          </w:tblCellMar>
        </w:tblPrEx>
        <w:trPr>
          <w:trHeight w:val="570" w:hRule="atLeast"/>
        </w:trPr>
        <w:tc>
          <w:tcPr>
            <w:tcW w:w="317" w:type="pct"/>
            <w:tcBorders>
              <w:top w:val="nil"/>
              <w:left w:val="single" w:color="auto" w:sz="4" w:space="0"/>
              <w:bottom w:val="single" w:color="auto" w:sz="4" w:space="0"/>
              <w:right w:val="single" w:color="auto" w:sz="4" w:space="0"/>
            </w:tcBorders>
            <w:shd w:val="clear" w:color="auto" w:fill="auto"/>
            <w:vAlign w:val="top"/>
          </w:tcPr>
          <w:p>
            <w:pPr>
              <w:spacing w:line="240" w:lineRule="auto"/>
              <w:jc w:val="both"/>
              <w:rPr>
                <w:rFonts w:hint="default" w:ascii="Arial" w:hAnsi="Arial" w:cs="Arial"/>
                <w:color w:val="auto"/>
                <w:sz w:val="22"/>
                <w:szCs w:val="22"/>
              </w:rPr>
            </w:pPr>
            <w:r>
              <w:rPr>
                <w:rFonts w:hint="default" w:ascii="Arial" w:hAnsi="Arial" w:cs="Arial"/>
                <w:color w:val="auto"/>
                <w:sz w:val="22"/>
                <w:szCs w:val="22"/>
              </w:rPr>
              <w:t>186</w:t>
            </w:r>
          </w:p>
        </w:tc>
        <w:tc>
          <w:tcPr>
            <w:tcW w:w="2191"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Viga para Boca de Lobo DUPLA. Dimensões 90x25x25cm (FCK) -&gt; 21 MPA boca de lobo padrão SUDECAP</w:t>
            </w:r>
          </w:p>
        </w:tc>
        <w:tc>
          <w:tcPr>
            <w:tcW w:w="386"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25</w:t>
            </w:r>
          </w:p>
        </w:tc>
        <w:tc>
          <w:tcPr>
            <w:tcW w:w="974"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r>
              <w:rPr>
                <w:rFonts w:hint="default" w:ascii="Arial" w:hAnsi="Arial" w:eastAsia="Times New Roman" w:cs="Arial"/>
                <w:color w:val="auto"/>
                <w:sz w:val="22"/>
                <w:szCs w:val="22"/>
                <w:lang w:val="pt-BR" w:eastAsia="pt-BR"/>
              </w:rPr>
              <w:t>Unidades</w:t>
            </w:r>
          </w:p>
        </w:tc>
        <w:tc>
          <w:tcPr>
            <w:tcW w:w="66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c>
          <w:tcPr>
            <w:tcW w:w="470" w:type="pct"/>
            <w:tcBorders>
              <w:top w:val="nil"/>
              <w:left w:val="nil"/>
              <w:bottom w:val="single" w:color="auto" w:sz="4" w:space="0"/>
              <w:right w:val="single" w:color="auto" w:sz="4" w:space="0"/>
            </w:tcBorders>
            <w:shd w:val="clear" w:color="auto" w:fill="auto"/>
            <w:vAlign w:val="top"/>
          </w:tcPr>
          <w:p>
            <w:pPr>
              <w:widowControl/>
              <w:autoSpaceDE/>
              <w:autoSpaceDN/>
              <w:spacing w:line="240" w:lineRule="auto"/>
              <w:jc w:val="both"/>
              <w:rPr>
                <w:rFonts w:hint="default" w:ascii="Arial" w:hAnsi="Arial" w:eastAsia="Times New Roman" w:cs="Arial"/>
                <w:color w:val="auto"/>
                <w:sz w:val="22"/>
                <w:szCs w:val="22"/>
                <w:lang w:val="pt-BR" w:eastAsia="pt-BR"/>
              </w:rPr>
            </w:pPr>
          </w:p>
        </w:tc>
      </w:tr>
    </w:tbl>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dos bens </w:t>
      </w:r>
      <w:r>
        <w:rPr>
          <w:rFonts w:hint="default"/>
          <w:i w:val="0"/>
          <w:iCs w:val="0"/>
          <w:color w:val="auto"/>
          <w:sz w:val="24"/>
          <w:szCs w:val="24"/>
          <w:highlight w:val="none"/>
          <w:lang w:val="pt-BR"/>
        </w:rPr>
        <w:t>será</w:t>
      </w:r>
      <w:r>
        <w:rPr>
          <w:rFonts w:hint="default"/>
          <w:i w:val="0"/>
          <w:iCs w:val="0"/>
          <w:color w:val="auto"/>
          <w:sz w:val="24"/>
          <w:szCs w:val="24"/>
          <w:highlight w:val="none"/>
        </w:rPr>
        <w:t xml:space="preserve"> de </w:t>
      </w:r>
      <w:r>
        <w:rPr>
          <w:rFonts w:hint="default"/>
          <w:i w:val="0"/>
          <w:iCs w:val="0"/>
          <w:color w:val="auto"/>
          <w:sz w:val="24"/>
          <w:szCs w:val="24"/>
          <w:highlight w:val="none"/>
          <w:lang w:val="pt-BR"/>
        </w:rPr>
        <w:t>15</w:t>
      </w:r>
      <w:r>
        <w:rPr>
          <w:rFonts w:hint="default"/>
          <w:i w:val="0"/>
          <w:iCs w:val="0"/>
          <w:color w:val="auto"/>
          <w:sz w:val="24"/>
          <w:szCs w:val="24"/>
          <w:highlight w:val="none"/>
        </w:rPr>
        <w:t xml:space="preserve"> (</w:t>
      </w:r>
      <w:r>
        <w:rPr>
          <w:rFonts w:hint="default"/>
          <w:i w:val="0"/>
          <w:iCs w:val="0"/>
          <w:color w:val="auto"/>
          <w:sz w:val="24"/>
          <w:szCs w:val="24"/>
          <w:highlight w:val="none"/>
          <w:lang w:val="pt-BR"/>
        </w:rPr>
        <w:t>quinze</w:t>
      </w:r>
      <w:r>
        <w:rPr>
          <w:rFonts w:hint="default"/>
          <w:i w:val="0"/>
          <w:iCs w:val="0"/>
          <w:color w:val="auto"/>
          <w:sz w:val="24"/>
          <w:szCs w:val="24"/>
          <w:highlight w:val="none"/>
        </w:rPr>
        <w:t>)</w:t>
      </w:r>
      <w:r>
        <w:rPr>
          <w:rFonts w:hint="default"/>
          <w:i w:val="0"/>
          <w:iCs w:val="0"/>
          <w:color w:val="auto"/>
          <w:sz w:val="24"/>
          <w:szCs w:val="24"/>
          <w:highlight w:val="none"/>
          <w:lang w:val="pt-BR"/>
        </w:rPr>
        <w:t xml:space="preserve"> </w:t>
      </w:r>
      <w:r>
        <w:rPr>
          <w:rFonts w:hint="default"/>
          <w:i w:val="0"/>
          <w:iCs w:val="0"/>
          <w:color w:val="auto"/>
          <w:sz w:val="24"/>
          <w:szCs w:val="24"/>
          <w:highlight w:val="none"/>
        </w:rPr>
        <w:t>dias</w:t>
      </w:r>
      <w:r>
        <w:rPr>
          <w:rFonts w:hint="default"/>
          <w:i w:val="0"/>
          <w:iCs w:val="0"/>
          <w:color w:val="auto"/>
          <w:sz w:val="24"/>
          <w:szCs w:val="24"/>
          <w:highlight w:val="none"/>
          <w:lang w:val="pt-BR"/>
        </w:rPr>
        <w:t xml:space="preserve"> corridos</w:t>
      </w:r>
      <w:r>
        <w:rPr>
          <w:rFonts w:hint="default"/>
          <w:i w:val="0"/>
          <w:iCs w:val="0"/>
          <w:color w:val="auto"/>
          <w:sz w:val="24"/>
          <w:szCs w:val="24"/>
          <w:highlight w:val="none"/>
        </w:rPr>
        <w:t>, contados do(a) a partir do recebimento da ordem de compra, de forma parcelada.</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As parcelas serão entregues conforme necessidade de cada secretaria e de acordo com as quantidades  informadas na ordem de serviço.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rPr>
        <w:t>Almoxarifado Central da Prefeitura no endereço: Rua Capitão José Apolinário nº: 1.345, Bairro: Brasília - Arcos/M.G., ou em outro endereço informado na Ordem de Compra ou estabelecido pelo Setor Requisitante, podendo ser no perímetro urbano e zona rural do Município.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Os</w:t>
      </w:r>
      <w:r>
        <w:rPr>
          <w:rFonts w:hint="default" w:ascii="Arial" w:hAnsi="Arial" w:cs="Arial"/>
          <w:i w:val="0"/>
          <w:iCs w:val="0"/>
          <w:color w:val="000000"/>
          <w:sz w:val="24"/>
          <w:szCs w:val="24"/>
          <w:u w:val="none"/>
          <w:vertAlign w:val="baseline"/>
          <w:lang w:val="pt-BR"/>
        </w:rPr>
        <w:t xml:space="preserve"> bens</w:t>
      </w:r>
      <w:r>
        <w:rPr>
          <w:rFonts w:hint="default" w:ascii="Arial" w:hAnsi="Arial" w:cs="Arial"/>
          <w:i w:val="0"/>
          <w:iCs w:val="0"/>
          <w:color w:val="000000"/>
          <w:sz w:val="24"/>
          <w:szCs w:val="24"/>
          <w:u w:val="none"/>
          <w:vertAlign w:val="baseline"/>
        </w:rPr>
        <w:t xml:space="preserve"> não devem apresentar </w:t>
      </w:r>
      <w:r>
        <w:rPr>
          <w:rFonts w:hint="default" w:ascii="Arial" w:hAnsi="Arial" w:cs="Arial"/>
          <w:i w:val="0"/>
          <w:iCs w:val="0"/>
          <w:color w:val="000000"/>
          <w:sz w:val="24"/>
          <w:szCs w:val="24"/>
          <w:u w:val="none"/>
          <w:vertAlign w:val="baseline"/>
          <w:lang w:val="pt-BR"/>
        </w:rPr>
        <w:t>avarias.</w:t>
      </w:r>
    </w:p>
    <w:p>
      <w:pPr>
        <w:pStyle w:val="103"/>
        <w:spacing w:after="288" w:afterLines="120" w:line="312" w:lineRule="auto"/>
        <w:ind w:firstLine="709"/>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rPr>
        <w:t xml:space="preserve">Uma vez notificado, o Contratado realizará a substituição dos materiais que apresentarem vício ou defeito no prazo de até </w:t>
      </w:r>
      <w:r>
        <w:rPr>
          <w:rFonts w:hint="default" w:cs="Arial"/>
          <w:i w:val="0"/>
          <w:iCs w:val="0"/>
          <w:color w:val="000000"/>
          <w:sz w:val="24"/>
          <w:szCs w:val="24"/>
          <w:u w:val="none"/>
          <w:vertAlign w:val="baseline"/>
          <w:lang w:val="pt-BR"/>
        </w:rPr>
        <w:t>10</w:t>
      </w:r>
      <w:r>
        <w:rPr>
          <w:rFonts w:hint="default" w:ascii="Arial" w:hAnsi="Arial" w:cs="Arial"/>
          <w:i w:val="0"/>
          <w:iCs w:val="0"/>
          <w:color w:val="000000"/>
          <w:sz w:val="24"/>
          <w:szCs w:val="24"/>
          <w:u w:val="none"/>
          <w:vertAlign w:val="baseline"/>
        </w:rPr>
        <w:t xml:space="preserve"> (</w:t>
      </w:r>
      <w:r>
        <w:rPr>
          <w:rFonts w:hint="default" w:cs="Arial"/>
          <w:i w:val="0"/>
          <w:iCs w:val="0"/>
          <w:color w:val="000000"/>
          <w:sz w:val="24"/>
          <w:szCs w:val="24"/>
          <w:u w:val="none"/>
          <w:vertAlign w:val="baseline"/>
          <w:lang w:val="pt-BR"/>
        </w:rPr>
        <w:t>dez</w:t>
      </w:r>
      <w:r>
        <w:rPr>
          <w:rFonts w:hint="default" w:ascii="Arial" w:hAnsi="Arial" w:cs="Arial"/>
          <w:i w:val="0"/>
          <w:iCs w:val="0"/>
          <w:color w:val="000000"/>
          <w:sz w:val="24"/>
          <w:szCs w:val="24"/>
          <w:u w:val="none"/>
          <w:vertAlign w:val="baseline"/>
        </w:rPr>
        <w:t>) dias úteis, contados a partir da data de retirada do material das dependências da Administração pelo Contratado.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ficará responsável pela entrega dos materiais, mesmo em locais que contenham mais de 1 (um) piso.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dos materiais será de responsabilidade da Contratada.</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Os bens a serem adquiridos enquadram-se na classificação de bens comuns, nos termos da Lei n° 10.520, de 2002, do Decreto n° 3.555, de 2000.</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keepNext w:val="0"/>
        <w:keepLines w:val="0"/>
        <w:pageBreakBefore w:val="0"/>
        <w:widowControl/>
        <w:numPr>
          <w:ilvl w:val="1"/>
          <w:numId w:val="0"/>
        </w:numPr>
        <w:kinsoku/>
        <w:wordWrap/>
        <w:overflowPunct/>
        <w:topLinePunct w:val="0"/>
        <w:autoSpaceDE/>
        <w:autoSpaceDN/>
        <w:bidi w:val="0"/>
        <w:adjustRightInd/>
        <w:snapToGrid/>
        <w:spacing w:before="120" w:after="181" w:afterLines="50" w:line="360" w:lineRule="auto"/>
        <w:textAlignment w:val="auto"/>
        <w:rPr>
          <w:rFonts w:hint="default" w:ascii="Arial" w:hAnsi="Arial" w:cs="Arial"/>
          <w:sz w:val="24"/>
          <w:szCs w:val="24"/>
          <w:lang w:val="pt-BR"/>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os </w:t>
      </w:r>
      <w:r>
        <w:rPr>
          <w:sz w:val="24"/>
          <w:szCs w:val="24"/>
        </w:rPr>
        <w:t>servidor</w:t>
      </w:r>
      <w:r>
        <w:rPr>
          <w:rFonts w:hint="default"/>
          <w:sz w:val="24"/>
          <w:szCs w:val="24"/>
          <w:lang w:val="pt-BR"/>
        </w:rPr>
        <w:t xml:space="preserve">es </w:t>
      </w:r>
      <w:r>
        <w:rPr>
          <w:rFonts w:hint="default" w:ascii="Arial" w:hAnsi="Arial" w:cs="Arial"/>
          <w:i w:val="0"/>
          <w:iCs w:val="0"/>
          <w:color w:val="000000"/>
          <w:sz w:val="24"/>
          <w:szCs w:val="24"/>
          <w:u w:val="none"/>
          <w:vertAlign w:val="baseline"/>
        </w:rPr>
        <w:t>para atuar</w:t>
      </w:r>
      <w:r>
        <w:rPr>
          <w:rFonts w:hint="default" w:cs="Arial"/>
          <w:i w:val="0"/>
          <w:iCs w:val="0"/>
          <w:color w:val="000000"/>
          <w:sz w:val="24"/>
          <w:szCs w:val="24"/>
          <w:u w:val="none"/>
          <w:vertAlign w:val="baseline"/>
          <w:lang w:val="pt-BR"/>
        </w:rPr>
        <w:t>em</w:t>
      </w:r>
      <w:r>
        <w:rPr>
          <w:rFonts w:hint="default" w:ascii="Arial" w:hAnsi="Arial" w:cs="Arial"/>
          <w:i w:val="0"/>
          <w:iCs w:val="0"/>
          <w:color w:val="000000"/>
          <w:sz w:val="24"/>
          <w:szCs w:val="24"/>
          <w:u w:val="none"/>
          <w:vertAlign w:val="baseline"/>
        </w:rPr>
        <w:t xml:space="preserve"> como fiscal do contrato</w:t>
      </w:r>
      <w:r>
        <w:rPr>
          <w:rFonts w:hint="default" w:cs="Arial"/>
          <w:i w:val="0"/>
          <w:iCs w:val="0"/>
          <w:color w:val="000000"/>
          <w:sz w:val="24"/>
          <w:szCs w:val="24"/>
          <w:u w:val="none"/>
          <w:vertAlign w:val="baseline"/>
          <w:lang w:val="pt-BR"/>
        </w:rPr>
        <w:t xml:space="preserve"> </w:t>
      </w:r>
      <w:r>
        <w:rPr>
          <w:rFonts w:hint="default"/>
          <w:i w:val="0"/>
          <w:iCs w:val="0"/>
          <w:color w:val="000000"/>
          <w:sz w:val="24"/>
          <w:szCs w:val="24"/>
          <w:u w:val="none"/>
          <w:vertAlign w:val="baseline"/>
          <w:lang w:val="pt-BR"/>
        </w:rPr>
        <w:t xml:space="preserve"> Tiago Rodrigo da Silva </w:t>
      </w:r>
      <w:r>
        <w:rPr>
          <w:rFonts w:hint="default"/>
          <w:b w:val="0"/>
          <w:bCs w:val="0"/>
          <w:sz w:val="24"/>
          <w:szCs w:val="24"/>
          <w:lang w:val="pt-BR"/>
        </w:rPr>
        <w:t xml:space="preserve">MASP: </w:t>
      </w:r>
      <w:r>
        <w:rPr>
          <w:rFonts w:hint="default"/>
          <w:i w:val="0"/>
          <w:iCs w:val="0"/>
          <w:color w:val="000000"/>
          <w:sz w:val="24"/>
          <w:szCs w:val="24"/>
          <w:u w:val="none"/>
          <w:vertAlign w:val="baseline"/>
          <w:lang w:val="pt-BR"/>
        </w:rPr>
        <w:t xml:space="preserve">66214/2  Áthila L. Barbosa de Alcantara - MASP: 6759/8 e </w:t>
      </w:r>
      <w:r>
        <w:rPr>
          <w:rFonts w:hint="default" w:ascii="Arial" w:hAnsi="Arial" w:cs="Arial"/>
          <w:i w:val="0"/>
          <w:iCs w:val="0"/>
          <w:color w:val="000000"/>
          <w:sz w:val="24"/>
          <w:szCs w:val="24"/>
          <w:u w:val="none"/>
          <w:vertAlign w:val="baseline"/>
        </w:rPr>
        <w:t>o servidor</w:t>
      </w: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MASP: 6602/8 </w:t>
      </w:r>
      <w:r>
        <w:rPr>
          <w:rFonts w:hint="default" w:ascii="Arial" w:hAnsi="Arial" w:cs="Arial"/>
          <w:i w:val="0"/>
          <w:iCs w:val="0"/>
          <w:color w:val="000000"/>
          <w:sz w:val="24"/>
          <w:szCs w:val="24"/>
          <w:u w:val="none"/>
          <w:vertAlign w:val="baseline"/>
        </w:rPr>
        <w:t>para atuar como gestor do contrato</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56"/>
        <w:spacing w:after="288" w:afterLines="120" w:line="312" w:lineRule="auto"/>
        <w:ind w:firstLine="709"/>
        <w:rPr>
          <w:sz w:val="24"/>
          <w:szCs w:val="24"/>
        </w:rPr>
      </w:pPr>
      <w:r>
        <w:rPr>
          <w:rFonts w:hint="default"/>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ascii="Arial" w:hAnsi="Arial"/>
          <w:color w:val="000000"/>
          <w:sz w:val="24"/>
          <w:szCs w:val="24"/>
          <w:lang w:val="en-US"/>
        </w:rPr>
        <w:t>.</w:t>
      </w:r>
      <w:r>
        <w:rPr>
          <w:rFonts w:hint="default" w:ascii="Arial" w:hAnsi="Arial"/>
          <w:color w:val="000000"/>
          <w:sz w:val="24"/>
          <w:szCs w:val="24"/>
          <w:lang w:val="pt-BR"/>
        </w:rPr>
        <w:t>(Lei nº 14.133, de 2021, art. 69, §6º).</w:t>
      </w:r>
      <w:r>
        <w:rPr>
          <w:rFonts w:hint="default" w:ascii="Arial" w:hAnsi="Arial"/>
          <w:color w:val="000000"/>
          <w:sz w:val="24"/>
          <w:szCs w:val="24"/>
          <w:lang w:val="en-US"/>
        </w:rPr>
        <w:t xml:space="preserve"> As empresas optantes pela SPEED podem apresentar balanço de 2022 nas licitações com abertura até 31/05</w:t>
      </w:r>
      <w:r>
        <w:rPr>
          <w:rFonts w:hint="default" w:ascii="Arial" w:hAnsi="Arial"/>
          <w:color w:val="000000"/>
          <w:sz w:val="24"/>
          <w:szCs w:val="24"/>
          <w:lang w:val="pt-BR"/>
        </w:rPr>
        <w:t>/</w:t>
      </w:r>
      <w:r>
        <w:rPr>
          <w:rFonts w:hint="default" w:ascii="Arial" w:hAnsi="Arial"/>
          <w:color w:val="000000"/>
          <w:sz w:val="24"/>
          <w:szCs w:val="24"/>
          <w:lang w:val="en-US"/>
        </w:rPr>
        <w:t>2024</w:t>
      </w:r>
      <w:r>
        <w:rPr>
          <w:rFonts w:hint="default"/>
          <w:color w:val="000000"/>
          <w:sz w:val="24"/>
          <w:szCs w:val="24"/>
          <w:lang w:val="pt-BR"/>
        </w:rPr>
        <w:t>.</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13 de maio de 2024.</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sz w:val="24"/>
          <w:szCs w:val="24"/>
          <w:lang w:val="pt-BR"/>
        </w:rPr>
      </w:pPr>
      <w:r>
        <w:rPr>
          <w:rFonts w:hint="default"/>
          <w:color w:val="auto"/>
          <w:sz w:val="24"/>
          <w:szCs w:val="24"/>
          <w:highlight w:val="none"/>
          <w:lang w:val="pt-BR"/>
        </w:rPr>
        <w:t>Secretário Municipal de Obras e Serviços Públicos.</w:t>
      </w:r>
    </w:p>
    <w:p>
      <w:pPr>
        <w:spacing w:before="120" w:after="288" w:afterLines="120" w:line="312" w:lineRule="auto"/>
        <w:ind w:left="360"/>
        <w:jc w:val="center"/>
        <w:rPr>
          <w:rFonts w:ascii="Arial" w:hAnsi="Arial" w:cs="Arial"/>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1775B"/>
    <w:rsid w:val="063653B2"/>
    <w:rsid w:val="06735D04"/>
    <w:rsid w:val="07AA743C"/>
    <w:rsid w:val="0825C528"/>
    <w:rsid w:val="09BD2C94"/>
    <w:rsid w:val="0AB4EB49"/>
    <w:rsid w:val="0B153EAE"/>
    <w:rsid w:val="0C72485D"/>
    <w:rsid w:val="0C9917F6"/>
    <w:rsid w:val="0C9E538D"/>
    <w:rsid w:val="0CD8499C"/>
    <w:rsid w:val="0DA1B3F3"/>
    <w:rsid w:val="0DB0AC54"/>
    <w:rsid w:val="0EFA3098"/>
    <w:rsid w:val="0F79B9D7"/>
    <w:rsid w:val="100E06B1"/>
    <w:rsid w:val="10E0D201"/>
    <w:rsid w:val="11041DAD"/>
    <w:rsid w:val="114D992C"/>
    <w:rsid w:val="135B6EBA"/>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4F6538AB"/>
    <w:rsid w:val="507E7CCA"/>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 w:type="table" w:customStyle="1" w:styleId="120">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DA862052-D844-467A-AC8D-623B16AA7605}">
  <ds:schemaRefs/>
</ds:datastoreItem>
</file>

<file path=customXml/itemProps2.xml><?xml version="1.0" encoding="utf-8"?>
<ds:datastoreItem xmlns:ds="http://schemas.openxmlformats.org/officeDocument/2006/customXml" ds:itemID="{A1465CDB-1419-435A-AC24-1D47985E0D45}">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26</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Marcelo Andrade</cp:lastModifiedBy>
  <cp:lastPrinted>2024-05-13T15:46:59Z</cp:lastPrinted>
  <dcterms:modified xsi:type="dcterms:W3CDTF">2024-05-13T16:03:43Z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078934D1E58A435C849744B930B18542</vt:lpwstr>
  </property>
</Properties>
</file>