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permStart w:id="0" w:edGrp="everyone"/>
      <w:r>
        <w:rPr>
          <w:rFonts w:hint="default" w:ascii="Arial" w:hAnsi="Arial" w:eastAsia="Times New Roman" w:cs="Arial"/>
          <w:b/>
          <w:iCs/>
          <w:highlight w:val="none"/>
          <w:lang w:val="pt-BR"/>
        </w:rPr>
        <w:t>A</w:t>
      </w:r>
      <w:r>
        <w:rPr>
          <w:rFonts w:ascii="Arial" w:hAnsi="Arial" w:eastAsia="Times New Roman" w:cs="Arial"/>
          <w:b/>
          <w:iCs/>
          <w:highlight w:val="none"/>
        </w:rPr>
        <w:t>quisições</w:t>
      </w:r>
    </w:p>
    <w:permEnd w:id="0"/>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045/2024</w:t>
      </w:r>
    </w:p>
    <w:p>
      <w:pPr>
        <w:jc w:val="center"/>
        <w:rPr>
          <w:rFonts w:ascii="Arial" w:hAnsi="Arial" w:eastAsia="Times New Roman" w:cs="Arial"/>
          <w:b/>
          <w:iCs/>
          <w:highlight w:val="none"/>
        </w:rPr>
      </w:pP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firstLine="709"/>
        <w:rPr>
          <w:b/>
          <w:bCs/>
          <w:sz w:val="24"/>
          <w:szCs w:val="24"/>
          <w:highlight w:val="none"/>
        </w:rPr>
      </w:pPr>
      <w:permStart w:id="1" w:edGrp="everyone"/>
      <w:r>
        <w:rPr>
          <w:sz w:val="24"/>
          <w:szCs w:val="24"/>
          <w:highlight w:val="none"/>
        </w:rPr>
        <w:t xml:space="preserve">Contratação </w:t>
      </w:r>
      <w:r>
        <w:rPr>
          <w:rFonts w:hint="default"/>
          <w:sz w:val="24"/>
          <w:szCs w:val="24"/>
          <w:highlight w:val="none"/>
          <w:lang w:val="pt-BR"/>
        </w:rPr>
        <w:t>para</w:t>
      </w:r>
      <w:r>
        <w:rPr>
          <w:sz w:val="24"/>
          <w:szCs w:val="24"/>
          <w:highlight w:val="none"/>
        </w:rPr>
        <w:t xml:space="preserve"> </w:t>
      </w:r>
      <w:r>
        <w:rPr>
          <w:rFonts w:hint="default"/>
          <w:sz w:val="24"/>
          <w:szCs w:val="24"/>
          <w:highlight w:val="none"/>
          <w:lang w:val="pt-BR"/>
        </w:rPr>
        <w:t>fornecimento de insumos para Farmácia de Minas</w:t>
      </w:r>
      <w:r>
        <w:rPr>
          <w:b/>
          <w:bCs/>
          <w:sz w:val="24"/>
          <w:szCs w:val="24"/>
          <w:highlight w:val="none"/>
        </w:rPr>
        <w:t>,</w:t>
      </w:r>
      <w:r>
        <w:rPr>
          <w:sz w:val="24"/>
          <w:szCs w:val="24"/>
          <w:highlight w:val="none"/>
        </w:rPr>
        <w:t xml:space="preserve"> </w:t>
      </w:r>
      <w:permEnd w:id="1"/>
      <w:r>
        <w:rPr>
          <w:sz w:val="24"/>
          <w:szCs w:val="24"/>
          <w:highlight w:val="none"/>
        </w:rPr>
        <w:t>nos termos da tabela abaixo, conforme condições e exigências estabelecidas neste instrumento.</w:t>
      </w:r>
    </w:p>
    <w:tbl>
      <w:tblPr>
        <w:tblStyle w:val="8"/>
        <w:tblW w:w="94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551"/>
        <w:gridCol w:w="1417"/>
        <w:gridCol w:w="1559"/>
        <w:gridCol w:w="1560"/>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color w:val="000000"/>
                <w:highlight w:val="none"/>
              </w:rPr>
            </w:pPr>
            <w:permStart w:id="2" w:edGrp="everyone"/>
            <w:r>
              <w:rPr>
                <w:rFonts w:ascii="Arial" w:hAnsi="Arial" w:eastAsia="Arial" w:cs="Arial"/>
                <w:b/>
                <w:bCs/>
                <w:color w:val="000000" w:themeColor="text1"/>
                <w:highlight w:val="none"/>
                <w14:textFill>
                  <w14:solidFill>
                    <w14:schemeClr w14:val="tx1"/>
                  </w14:solidFill>
                </w14:textFill>
              </w:rPr>
              <w:t>ITEM</w:t>
            </w:r>
          </w:p>
          <w:p>
            <w:pPr>
              <w:widowControl w:val="0"/>
              <w:suppressAutoHyphens/>
              <w:spacing w:before="120" w:afterLines="120" w:line="312" w:lineRule="auto"/>
              <w:jc w:val="center"/>
              <w:rPr>
                <w:rFonts w:ascii="Arial" w:hAnsi="Arial" w:eastAsia="Arial" w:cs="Arial"/>
                <w:b/>
                <w:bCs/>
                <w:color w:val="000000"/>
                <w:highlight w:val="none"/>
              </w:rPr>
            </w:pP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color w:val="000000"/>
                <w:highlight w:val="none"/>
              </w:rPr>
            </w:pPr>
            <w:r>
              <w:rPr>
                <w:rFonts w:ascii="Arial" w:hAnsi="Arial" w:eastAsia="Arial" w:cs="Arial"/>
                <w:b/>
                <w:bCs/>
                <w:color w:val="000000" w:themeColor="text1"/>
                <w:highlight w:val="none"/>
                <w14:textFill>
                  <w14:solidFill>
                    <w14:schemeClr w14:val="tx1"/>
                  </w14:solidFill>
                </w14:textFill>
              </w:rPr>
              <w:t>ESPECIFICAÇÃO</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color w:val="000000"/>
                <w:highlight w:val="none"/>
              </w:rPr>
            </w:pPr>
            <w:r>
              <w:rPr>
                <w:rFonts w:ascii="Arial" w:hAnsi="Arial" w:eastAsia="Arial" w:cs="Arial"/>
                <w:b/>
                <w:bCs/>
                <w:color w:val="000000" w:themeColor="text1"/>
                <w:highlight w:val="none"/>
                <w14:textFill>
                  <w14:solidFill>
                    <w14:schemeClr w14:val="tx1"/>
                  </w14:solidFill>
                </w14:textFill>
              </w:rPr>
              <w:t>UNIDADE DE MEDIDA</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highlight w:val="none"/>
              </w:rPr>
            </w:pPr>
            <w:r>
              <w:rPr>
                <w:rFonts w:ascii="Arial" w:hAnsi="Arial" w:eastAsia="Arial" w:cs="Arial"/>
                <w:b/>
                <w:bCs/>
                <w:highlight w:val="none"/>
              </w:rPr>
              <w:t>QUANT.</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highlight w:val="none"/>
              </w:rPr>
            </w:pPr>
            <w:r>
              <w:rPr>
                <w:rFonts w:ascii="Arial" w:hAnsi="Arial" w:eastAsia="Arial" w:cs="Arial"/>
                <w:b/>
                <w:bCs/>
                <w:highlight w:val="none"/>
              </w:rPr>
              <w:t>VALOR UNITÁRIO</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highlight w:val="none"/>
              </w:rPr>
            </w:pPr>
            <w:r>
              <w:rPr>
                <w:rFonts w:ascii="Arial" w:hAnsi="Arial" w:eastAsia="Arial" w:cs="Arial"/>
                <w:b/>
                <w:bCs/>
                <w:highlight w:val="none"/>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color w:val="000000"/>
                <w:highlight w:val="none"/>
              </w:rPr>
            </w:pPr>
            <w:r>
              <w:rPr>
                <w:rFonts w:ascii="Arial" w:hAnsi="Arial" w:eastAsia="Arial" w:cs="Arial"/>
                <w:b/>
                <w:bCs/>
                <w:color w:val="000000" w:themeColor="text1"/>
                <w:highlight w:val="none"/>
                <w14:textFill>
                  <w14:solidFill>
                    <w14:schemeClr w14:val="tx1"/>
                  </w14:solidFill>
                </w14:textFill>
              </w:rPr>
              <w:t>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val="0"/>
                <w:bCs w:val="0"/>
                <w:color w:val="auto"/>
                <w:kern w:val="0"/>
                <w:sz w:val="21"/>
                <w:szCs w:val="21"/>
                <w:highlight w:val="none"/>
                <w:lang w:val="en-US" w:eastAsia="pt-BR" w:bidi="ar-SA"/>
              </w:rPr>
            </w:pPr>
            <w:r>
              <w:rPr>
                <w:rFonts w:hint="default" w:ascii="Arial" w:hAnsi="Arial" w:cs="Arial"/>
                <w:b w:val="0"/>
                <w:bCs w:val="0"/>
                <w:color w:val="auto"/>
                <w:kern w:val="0"/>
                <w:sz w:val="21"/>
                <w:szCs w:val="21"/>
                <w:highlight w:val="none"/>
                <w:lang w:val="en-US" w:eastAsia="pt-BR" w:bidi="ar-SA"/>
              </w:rPr>
              <w:t>Lanceta automática descartável - Tipo: agulha retrátil; matéria-prima: aço inoxidável e corpo em plástico; Calibre: 28G; estéril; Disparo: Gatilho com dispositivo de segurança; aplicação: punção digital para amostra de sangue capilar.</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eastAsiaTheme="minorEastAsia"/>
                <w:b w:val="0"/>
                <w:bCs w:val="0"/>
                <w:color w:val="auto"/>
                <w:kern w:val="0"/>
                <w:sz w:val="21"/>
                <w:szCs w:val="21"/>
                <w:highlight w:val="none"/>
                <w:lang w:val="en-US" w:eastAsia="pt-BR" w:bidi="ar-SA"/>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Calibri" w:cs="Arial"/>
                <w:b w:val="0"/>
                <w:bCs w:val="0"/>
                <w:color w:val="auto"/>
                <w:sz w:val="21"/>
                <w:szCs w:val="21"/>
                <w:highlight w:val="none"/>
                <w:lang w:val="en-US" w:eastAsia="pt-BR" w:bidi="ar-SA"/>
              </w:rPr>
            </w:pPr>
            <w:r>
              <w:rPr>
                <w:rFonts w:hint="default" w:ascii="Arial" w:hAnsi="Arial" w:cs="Arial"/>
                <w:b w:val="0"/>
                <w:bCs w:val="0"/>
                <w:color w:val="auto"/>
                <w:sz w:val="21"/>
                <w:szCs w:val="21"/>
                <w:highlight w:val="none"/>
                <w:lang w:val="en-US" w:eastAsia="pt-BR" w:bidi="ar-SA"/>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57" w:lineRule="auto"/>
              <w:jc w:val="center"/>
              <w:textAlignment w:val="auto"/>
              <w:rPr>
                <w:rFonts w:hint="default" w:ascii="Arial" w:hAnsi="Arial" w:cs="Arial" w:eastAsiaTheme="minorEastAsia"/>
                <w:b w:val="0"/>
                <w:bCs/>
                <w:color w:val="auto"/>
                <w:sz w:val="21"/>
                <w:szCs w:val="21"/>
                <w:highlight w:val="none"/>
                <w:lang w:val="pt-BR" w:eastAsia="pt-BR" w:bidi="ar-SA"/>
              </w:rPr>
            </w:pPr>
            <w:r>
              <w:rPr>
                <w:rFonts w:hint="default" w:ascii="Arial" w:hAnsi="Arial" w:cs="Arial"/>
                <w:b w:val="0"/>
                <w:bCs/>
                <w:color w:val="auto"/>
                <w:sz w:val="21"/>
                <w:szCs w:val="21"/>
                <w:highlight w:val="none"/>
                <w:lang w:val="pt-BR"/>
              </w:rPr>
              <w:t>200.000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ascii="Arial" w:hAnsi="Arial" w:eastAsia="Arial" w:cs="Arial"/>
                <w:color w:val="000000"/>
                <w:highlight w:val="non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ascii="Arial" w:hAnsi="Arial" w:eastAsia="Arial" w:cs="Arial"/>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highlight w:val="none"/>
                <w:lang w:val="pt-BR"/>
                <w14:textFill>
                  <w14:solidFill>
                    <w14:schemeClr w14:val="tx1"/>
                  </w14:solidFill>
                </w14:textFill>
              </w:rPr>
            </w:pPr>
            <w:r>
              <w:rPr>
                <w:rFonts w:hint="default" w:ascii="Arial" w:hAnsi="Arial" w:eastAsia="Arial" w:cs="Arial"/>
                <w:b/>
                <w:bCs/>
                <w:color w:val="000000" w:themeColor="text1"/>
                <w:highlight w:val="none"/>
                <w:lang w:val="pt-BR"/>
                <w14:textFill>
                  <w14:solidFill>
                    <w14:schemeClr w14:val="tx1"/>
                  </w14:solidFill>
                </w14:textFill>
              </w:rPr>
              <w:t>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sz w:val="21"/>
                <w:szCs w:val="21"/>
                <w:highlight w:val="none"/>
                <w:lang w:val="en-US" w:eastAsia="pt-BR" w:bidi="ar-SA"/>
              </w:rPr>
            </w:pPr>
            <w:r>
              <w:rPr>
                <w:rFonts w:hint="default" w:ascii="Arial" w:hAnsi="Arial" w:cs="Arial"/>
                <w:kern w:val="0"/>
                <w:sz w:val="21"/>
                <w:szCs w:val="21"/>
                <w:highlight w:val="none"/>
                <w:lang w:val="en-US" w:eastAsia="pt-BR" w:bidi="ar-SA"/>
              </w:rPr>
              <w:t>Tiras Reagentes - Tipo: faixa de leitura mínima igual ou abaixo de 20mg/dl; finalidade: Pesquisa glicemia capilar Glicosímetros digitais.</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bCs/>
                <w:kern w:val="0"/>
                <w:sz w:val="21"/>
                <w:szCs w:val="21"/>
                <w:highlight w:val="none"/>
                <w:lang w:val="en-US" w:eastAsia="pt-BR" w:bidi="ar-SA"/>
              </w:rPr>
            </w:pPr>
            <w:r>
              <w:rPr>
                <w:rFonts w:hint="default" w:ascii="Arial" w:hAnsi="Arial" w:cs="Arial"/>
                <w:b/>
                <w:bCs/>
                <w:kern w:val="0"/>
                <w:sz w:val="21"/>
                <w:szCs w:val="21"/>
                <w:highlight w:val="none"/>
                <w:lang w:val="en-US" w:eastAsia="pt-BR" w:bidi="ar-SA"/>
              </w:rPr>
              <w:t>(Compatível com as tiras fornecidas pelo Estado MG nos últimos três anos – ACCU-CHEK Active – cx com 50 tiras – pois os usuários já possuem este dispositivo que foi distribuído através da compra pela adesão da Ata Estadual).</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eastAsiaTheme="minorEastAsia"/>
                <w:b/>
                <w:bCs/>
                <w:kern w:val="0"/>
                <w:sz w:val="21"/>
                <w:szCs w:val="21"/>
                <w:highlight w:val="none"/>
                <w:lang w:val="en-US" w:eastAsia="pt-BR" w:bidi="ar-SA"/>
              </w:rPr>
            </w:pPr>
            <w:r>
              <w:rPr>
                <w:rFonts w:hint="default" w:ascii="Arial" w:hAnsi="Arial" w:cs="Arial"/>
                <w:b/>
                <w:bCs/>
                <w:kern w:val="0"/>
                <w:sz w:val="21"/>
                <w:szCs w:val="21"/>
                <w:highlight w:val="none"/>
                <w:lang w:val="en-US" w:eastAsia="pt-BR" w:bidi="ar-SA"/>
              </w:rPr>
              <w:t>Ata 282/2020</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Calibri" w:cs="Arial"/>
                <w:color w:val="auto"/>
                <w:sz w:val="21"/>
                <w:szCs w:val="21"/>
                <w:highlight w:val="none"/>
                <w:lang w:val="pt-BR" w:eastAsia="en-US" w:bidi="ar-SA"/>
              </w:rPr>
            </w:pPr>
            <w:r>
              <w:rPr>
                <w:rFonts w:hint="default" w:ascii="Arial" w:hAnsi="Arial" w:cs="Arial"/>
                <w:color w:val="auto"/>
                <w:sz w:val="21"/>
                <w:szCs w:val="21"/>
                <w:highlight w:val="none"/>
                <w:lang w:val="pt-BR" w:eastAsia="en-US" w:bidi="ar-SA"/>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57" w:lineRule="auto"/>
              <w:jc w:val="center"/>
              <w:textAlignment w:val="auto"/>
              <w:rPr>
                <w:rFonts w:hint="default" w:ascii="Arial" w:hAnsi="Arial" w:cs="Arial" w:eastAsiaTheme="minorEastAsia"/>
                <w:b w:val="0"/>
                <w:bCs/>
                <w:color w:val="auto"/>
                <w:sz w:val="21"/>
                <w:szCs w:val="21"/>
                <w:highlight w:val="none"/>
                <w:lang w:val="pt-BR" w:eastAsia="pt-BR" w:bidi="ar-SA"/>
              </w:rPr>
            </w:pPr>
            <w:r>
              <w:rPr>
                <w:rFonts w:hint="default" w:ascii="Arial" w:hAnsi="Arial" w:cs="Arial"/>
                <w:b w:val="0"/>
                <w:bCs/>
                <w:color w:val="auto"/>
                <w:sz w:val="21"/>
                <w:szCs w:val="21"/>
                <w:highlight w:val="none"/>
                <w:lang w:val="pt-BR"/>
              </w:rPr>
              <w:t>250.000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ascii="Arial" w:hAnsi="Arial" w:eastAsia="Arial" w:cs="Arial"/>
                <w:color w:val="000000"/>
                <w:highlight w:val="non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ascii="Arial" w:hAnsi="Arial" w:eastAsia="Arial" w:cs="Arial"/>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highlight w:val="none"/>
                <w:lang w:val="pt-BR"/>
                <w14:textFill>
                  <w14:solidFill>
                    <w14:schemeClr w14:val="tx1"/>
                  </w14:solidFill>
                </w14:textFill>
              </w:rPr>
            </w:pPr>
            <w:r>
              <w:rPr>
                <w:rFonts w:hint="default" w:ascii="Arial" w:hAnsi="Arial" w:eastAsia="Arial" w:cs="Arial"/>
                <w:b/>
                <w:bCs/>
                <w:color w:val="000000" w:themeColor="text1"/>
                <w:highlight w:val="none"/>
                <w:lang w:val="pt-BR"/>
                <w14:textFill>
                  <w14:solidFill>
                    <w14:schemeClr w14:val="tx1"/>
                  </w14:solidFill>
                </w14:textFill>
              </w:rPr>
              <w:t>3</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sz w:val="21"/>
                <w:szCs w:val="21"/>
                <w:highlight w:val="none"/>
                <w:lang w:val="en-US" w:eastAsia="pt-BR" w:bidi="ar-SA"/>
              </w:rPr>
            </w:pPr>
            <w:r>
              <w:rPr>
                <w:rFonts w:hint="default" w:ascii="Arial" w:hAnsi="Arial" w:cs="Arial"/>
                <w:kern w:val="0"/>
                <w:sz w:val="21"/>
                <w:szCs w:val="21"/>
                <w:highlight w:val="none"/>
                <w:lang w:val="en-US" w:eastAsia="pt-BR" w:bidi="ar-SA"/>
              </w:rPr>
              <w:t>Glicosímetro - Finalidade: Medição de glicemia capilar de uso domiciliar; Tensão: alimentação por pilhas e/ou baterias.</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bCs/>
                <w:kern w:val="0"/>
                <w:sz w:val="21"/>
                <w:szCs w:val="21"/>
                <w:highlight w:val="none"/>
                <w:lang w:val="en-US" w:eastAsia="pt-BR" w:bidi="ar-SA"/>
              </w:rPr>
            </w:pPr>
            <w:r>
              <w:rPr>
                <w:rFonts w:hint="default" w:ascii="Arial" w:hAnsi="Arial" w:cs="Arial"/>
                <w:b/>
                <w:bCs/>
                <w:kern w:val="0"/>
                <w:sz w:val="21"/>
                <w:szCs w:val="21"/>
                <w:highlight w:val="none"/>
                <w:lang w:val="en-US" w:eastAsia="pt-BR" w:bidi="ar-SA"/>
              </w:rPr>
              <w:t>(Compatível com glicosímetro fornecido pelo Estado MG nos últimos três anos - ACCU-CHEK Active – para o momento que seja necessário sua substituição por avaria do glicosímetro ou para novas demandas enquanto não for fornecimento pela Ata Estadual).</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bCs/>
                <w:kern w:val="0"/>
                <w:sz w:val="21"/>
                <w:szCs w:val="21"/>
                <w:highlight w:val="none"/>
                <w:lang w:val="en-US" w:eastAsia="pt-BR" w:bidi="ar-SA"/>
              </w:rPr>
            </w:pPr>
            <w:r>
              <w:rPr>
                <w:rFonts w:hint="default" w:ascii="Arial" w:hAnsi="Arial" w:cs="Arial"/>
                <w:b/>
                <w:bCs/>
                <w:kern w:val="0"/>
                <w:sz w:val="21"/>
                <w:szCs w:val="21"/>
                <w:highlight w:val="none"/>
                <w:lang w:val="en-US" w:eastAsia="pt-BR" w:bidi="ar-SA"/>
              </w:rPr>
              <w:t>Ata 282/2020</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Calibri" w:cs="Arial"/>
                <w:color w:val="auto"/>
                <w:sz w:val="21"/>
                <w:szCs w:val="21"/>
                <w:highlight w:val="none"/>
                <w:lang w:val="pt-BR" w:eastAsia="en-US" w:bidi="ar-SA"/>
              </w:rPr>
            </w:pPr>
            <w:r>
              <w:rPr>
                <w:rFonts w:hint="default" w:ascii="Arial" w:hAnsi="Arial" w:cs="Arial"/>
                <w:color w:val="auto"/>
                <w:sz w:val="21"/>
                <w:szCs w:val="21"/>
                <w:highlight w:val="none"/>
                <w:lang w:val="pt-BR" w:eastAsia="en-US" w:bidi="ar-SA"/>
              </w:rPr>
              <w:t>Un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57" w:lineRule="auto"/>
              <w:jc w:val="center"/>
              <w:textAlignment w:val="auto"/>
              <w:rPr>
                <w:rFonts w:hint="default" w:ascii="Arial" w:hAnsi="Arial" w:cs="Arial" w:eastAsiaTheme="minorEastAsia"/>
                <w:b w:val="0"/>
                <w:bCs/>
                <w:color w:val="auto"/>
                <w:sz w:val="21"/>
                <w:szCs w:val="21"/>
                <w:highlight w:val="none"/>
                <w:lang w:val="pt-BR" w:eastAsia="pt-BR" w:bidi="ar-SA"/>
              </w:rPr>
            </w:pPr>
            <w:r>
              <w:rPr>
                <w:rFonts w:hint="default" w:ascii="Arial" w:hAnsi="Arial" w:cs="Arial"/>
                <w:b w:val="0"/>
                <w:bCs/>
                <w:color w:val="auto"/>
                <w:sz w:val="21"/>
                <w:szCs w:val="21"/>
                <w:highlight w:val="none"/>
                <w:lang w:val="pt-BR"/>
              </w:rPr>
              <w:t>250</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ascii="Arial" w:hAnsi="Arial" w:eastAsia="Arial" w:cs="Arial"/>
                <w:color w:val="000000"/>
                <w:highlight w:val="non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rPr>
                <w:rFonts w:ascii="Arial" w:hAnsi="Arial" w:eastAsia="Arial" w:cs="Arial"/>
                <w:color w:val="000000"/>
                <w:highlight w:val="none"/>
              </w:rPr>
            </w:pPr>
          </w:p>
        </w:tc>
      </w:tr>
    </w:tbl>
    <w:p>
      <w:pPr>
        <w:pStyle w:val="56"/>
        <w:spacing w:afterLines="120" w:line="312" w:lineRule="auto"/>
        <w:ind w:firstLine="709"/>
        <w:rPr>
          <w:sz w:val="24"/>
          <w:szCs w:val="24"/>
          <w:highlight w:val="none"/>
        </w:rPr>
      </w:pPr>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bem de luxo, conforme Decreto Municipal nº</w:t>
      </w:r>
      <w:r>
        <w:rPr>
          <w:rFonts w:hint="default"/>
          <w:sz w:val="24"/>
          <w:szCs w:val="24"/>
          <w:highlight w:val="none"/>
          <w:lang w:val="pt-BR"/>
        </w:rPr>
        <w:t xml:space="preserve"> 6535</w:t>
      </w:r>
      <w:r>
        <w:rPr>
          <w:sz w:val="24"/>
          <w:szCs w:val="24"/>
          <w:highlight w:val="none"/>
        </w:rPr>
        <w:t>/2023</w:t>
      </w:r>
      <w:r>
        <w:rPr>
          <w:rFonts w:hint="default"/>
          <w:sz w:val="24"/>
          <w:szCs w:val="24"/>
          <w:highlight w:val="none"/>
          <w:lang w:val="pt-BR"/>
        </w:rPr>
        <w:t>.</w:t>
      </w:r>
    </w:p>
    <w:permEnd w:id="2"/>
    <w:p>
      <w:pPr>
        <w:pStyle w:val="56"/>
        <w:spacing w:afterLines="120" w:line="312" w:lineRule="auto"/>
        <w:ind w:firstLine="709"/>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w:t>
      </w:r>
      <w:r>
        <w:rPr>
          <w:rFonts w:hint="default"/>
          <w:sz w:val="24"/>
          <w:szCs w:val="24"/>
          <w:highlight w:val="none"/>
          <w:lang w:val="pt-BR"/>
        </w:rPr>
        <w:t>.</w:t>
      </w:r>
    </w:p>
    <w:p>
      <w:pPr>
        <w:pStyle w:val="103"/>
        <w:spacing w:afterLines="120" w:line="312" w:lineRule="auto"/>
        <w:ind w:firstLine="709"/>
        <w:rPr>
          <w:i w:val="0"/>
          <w:iCs w:val="0"/>
          <w:color w:val="auto"/>
          <w:sz w:val="24"/>
          <w:szCs w:val="24"/>
          <w:highlight w:val="none"/>
        </w:rPr>
      </w:pPr>
      <w:permStart w:id="3"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contrado</w:t>
      </w:r>
      <w:r>
        <w:rPr>
          <w:i w:val="0"/>
          <w:iCs w:val="0"/>
          <w:color w:val="auto"/>
          <w:sz w:val="24"/>
          <w:szCs w:val="24"/>
          <w:highlight w:val="none"/>
        </w:rPr>
        <w:t>, na forma do artigo 105 da Lei n° 14.133, de 2021</w:t>
      </w:r>
      <w:permEnd w:id="3"/>
      <w:r>
        <w:rPr>
          <w:i w:val="0"/>
          <w:iCs w:val="0"/>
          <w:color w:val="auto"/>
          <w:sz w:val="24"/>
          <w:szCs w:val="24"/>
          <w:highlight w:val="none"/>
        </w:rPr>
        <w:t>.</w:t>
      </w:r>
    </w:p>
    <w:p>
      <w:pPr>
        <w:pStyle w:val="56"/>
        <w:spacing w:afterLines="120" w:line="312" w:lineRule="auto"/>
        <w:ind w:firstLine="709"/>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firstLine="709"/>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firstLine="709"/>
        <w:rPr>
          <w:sz w:val="24"/>
          <w:szCs w:val="24"/>
          <w:highlight w:val="none"/>
        </w:rPr>
      </w:pPr>
      <w:permStart w:id="4"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4"/>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4"/>
        <w:keepNext/>
        <w:keepLines/>
        <w:numPr>
          <w:ilvl w:val="0"/>
          <w:numId w:val="0"/>
        </w:numPr>
        <w:spacing w:afterLines="120" w:line="312" w:lineRule="auto"/>
        <w:ind w:left="357"/>
        <w:outlineLvl w:val="1"/>
        <w:rPr>
          <w:i w:val="0"/>
          <w:iCs w:val="0"/>
          <w:color w:val="auto"/>
          <w:sz w:val="24"/>
          <w:szCs w:val="24"/>
          <w:highlight w:val="none"/>
        </w:rPr>
      </w:pPr>
      <w:permStart w:id="5" w:edGrp="everyone"/>
      <w:r>
        <w:rPr>
          <w:b/>
          <w:bCs/>
          <w:i w:val="0"/>
          <w:iCs w:val="0"/>
          <w:color w:val="auto"/>
          <w:sz w:val="24"/>
          <w:szCs w:val="24"/>
          <w:highlight w:val="none"/>
        </w:rPr>
        <w:t>Indicação de marcas ou modelos</w:t>
      </w:r>
      <w:r>
        <w:rPr>
          <w:i w:val="0"/>
          <w:iCs w:val="0"/>
          <w:color w:val="auto"/>
          <w:sz w:val="24"/>
          <w:szCs w:val="24"/>
          <w:highlight w:val="none"/>
        </w:rPr>
        <w:t xml:space="preserve"> (</w:t>
      </w:r>
      <w:r>
        <w:rPr>
          <w:highlight w:val="none"/>
        </w:rPr>
        <w:fldChar w:fldCharType="begin"/>
      </w:r>
      <w:r>
        <w:rPr>
          <w:highlight w:val="none"/>
        </w:rPr>
        <w:instrText xml:space="preserve"> HYPERLINK "http://www.planalto.gov.br/ccivil_03/_ato2019-2022/2021/lei/L14133.htm" \l "art41" </w:instrText>
      </w:r>
      <w:r>
        <w:rPr>
          <w:highlight w:val="none"/>
        </w:rPr>
        <w:fldChar w:fldCharType="separate"/>
      </w:r>
      <w:r>
        <w:rPr>
          <w:rStyle w:val="13"/>
          <w:i w:val="0"/>
          <w:iCs w:val="0"/>
          <w:color w:val="auto"/>
          <w:sz w:val="24"/>
          <w:szCs w:val="24"/>
          <w:highlight w:val="none"/>
        </w:rPr>
        <w:t>Art. 41, inciso I, da Lei nº 14.133, de 2021</w:t>
      </w:r>
      <w:r>
        <w:rPr>
          <w:rStyle w:val="13"/>
          <w:i w:val="0"/>
          <w:iCs w:val="0"/>
          <w:color w:val="auto"/>
          <w:sz w:val="24"/>
          <w:szCs w:val="24"/>
          <w:highlight w:val="none"/>
        </w:rPr>
        <w:fldChar w:fldCharType="end"/>
      </w:r>
      <w:r>
        <w:rPr>
          <w:i w:val="0"/>
          <w:iCs w:val="0"/>
          <w:color w:val="auto"/>
          <w:sz w:val="24"/>
          <w:szCs w:val="24"/>
          <w:highlight w:val="none"/>
        </w:rPr>
        <w:t>):</w:t>
      </w:r>
    </w:p>
    <w:permEnd w:id="5"/>
    <w:p>
      <w:pPr>
        <w:pStyle w:val="56"/>
        <w:spacing w:afterLines="120" w:line="312" w:lineRule="auto"/>
        <w:ind w:firstLine="709"/>
        <w:rPr>
          <w:color w:val="auto"/>
          <w:sz w:val="24"/>
          <w:szCs w:val="24"/>
          <w:highlight w:val="none"/>
        </w:rPr>
      </w:pPr>
      <w:r>
        <w:rPr>
          <w:color w:val="auto"/>
          <w:sz w:val="24"/>
          <w:szCs w:val="24"/>
          <w:highlight w:val="none"/>
        </w:rPr>
        <w:t>Na presente contratação será admitida a indicação da(s) seguinte(s) marca(s), característica(s) ou modelo(s), de acordo com as justificativas contidas nos Estudos Técnicos Preliminares</w:t>
      </w:r>
      <w:r>
        <w:rPr>
          <w:rFonts w:hint="default"/>
          <w:color w:val="auto"/>
          <w:sz w:val="24"/>
          <w:szCs w:val="24"/>
          <w:highlight w:val="none"/>
          <w:lang w:val="pt-BR"/>
        </w:rPr>
        <w:t>:</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5251"/>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shd w:val="clear" w:color="auto" w:fill="BEBEBE" w:themeFill="background1" w:themeFillShade="BF"/>
            <w:vAlign w:val="center"/>
          </w:tcPr>
          <w:p>
            <w:pPr>
              <w:pStyle w:val="56"/>
              <w:numPr>
                <w:ilvl w:val="1"/>
                <w:numId w:val="0"/>
              </w:numPr>
              <w:spacing w:afterLines="120" w:line="312" w:lineRule="auto"/>
              <w:jc w:val="center"/>
              <w:rPr>
                <w:rFonts w:hint="default"/>
                <w:b/>
                <w:bCs/>
                <w:color w:val="auto"/>
                <w:sz w:val="24"/>
                <w:szCs w:val="24"/>
                <w:highlight w:val="none"/>
                <w:vertAlign w:val="baseline"/>
                <w:lang w:val="pt-BR"/>
              </w:rPr>
            </w:pPr>
            <w:r>
              <w:rPr>
                <w:rFonts w:hint="default"/>
                <w:b/>
                <w:bCs/>
                <w:color w:val="auto"/>
                <w:sz w:val="24"/>
                <w:szCs w:val="24"/>
                <w:highlight w:val="none"/>
                <w:vertAlign w:val="baseline"/>
                <w:lang w:val="pt-BR"/>
              </w:rPr>
              <w:t>Item</w:t>
            </w:r>
          </w:p>
        </w:tc>
        <w:tc>
          <w:tcPr>
            <w:tcW w:w="5251" w:type="dxa"/>
            <w:shd w:val="clear" w:color="auto" w:fill="BEBEBE" w:themeFill="background1" w:themeFillShade="BF"/>
            <w:vAlign w:val="center"/>
          </w:tcPr>
          <w:p>
            <w:pPr>
              <w:pStyle w:val="56"/>
              <w:numPr>
                <w:ilvl w:val="1"/>
                <w:numId w:val="0"/>
              </w:numPr>
              <w:spacing w:afterLines="120" w:line="312" w:lineRule="auto"/>
              <w:jc w:val="center"/>
              <w:rPr>
                <w:rFonts w:hint="default"/>
                <w:b/>
                <w:bCs/>
                <w:color w:val="auto"/>
                <w:sz w:val="24"/>
                <w:szCs w:val="24"/>
                <w:highlight w:val="none"/>
                <w:vertAlign w:val="baseline"/>
                <w:lang w:val="pt-BR"/>
              </w:rPr>
            </w:pPr>
            <w:r>
              <w:rPr>
                <w:rFonts w:hint="default"/>
                <w:b/>
                <w:bCs/>
                <w:color w:val="auto"/>
                <w:sz w:val="24"/>
                <w:szCs w:val="24"/>
                <w:highlight w:val="none"/>
                <w:vertAlign w:val="baseline"/>
                <w:lang w:val="pt-BR"/>
              </w:rPr>
              <w:t>Descrição do Produto</w:t>
            </w:r>
          </w:p>
        </w:tc>
        <w:tc>
          <w:tcPr>
            <w:tcW w:w="3285" w:type="dxa"/>
            <w:shd w:val="clear" w:color="auto" w:fill="BEBEBE" w:themeFill="background1" w:themeFillShade="BF"/>
            <w:vAlign w:val="center"/>
          </w:tcPr>
          <w:p>
            <w:pPr>
              <w:pStyle w:val="56"/>
              <w:numPr>
                <w:ilvl w:val="1"/>
                <w:numId w:val="0"/>
              </w:numPr>
              <w:spacing w:afterLines="120" w:line="312" w:lineRule="auto"/>
              <w:jc w:val="center"/>
              <w:rPr>
                <w:rFonts w:hint="default"/>
                <w:b/>
                <w:bCs/>
                <w:color w:val="auto"/>
                <w:sz w:val="24"/>
                <w:szCs w:val="24"/>
                <w:highlight w:val="none"/>
                <w:vertAlign w:val="baseline"/>
                <w:lang w:val="pt-BR"/>
              </w:rPr>
            </w:pPr>
            <w:r>
              <w:rPr>
                <w:rFonts w:hint="default"/>
                <w:b/>
                <w:bCs/>
                <w:color w:val="auto"/>
                <w:sz w:val="24"/>
                <w:szCs w:val="24"/>
                <w:highlight w:val="none"/>
                <w:vertAlign w:val="baseline"/>
                <w:lang w:val="pt-BR"/>
              </w:rPr>
              <w:t>Marca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top"/>
          </w:tcPr>
          <w:p>
            <w:pPr>
              <w:pStyle w:val="56"/>
              <w:numPr>
                <w:ilvl w:val="1"/>
                <w:numId w:val="0"/>
              </w:numPr>
              <w:spacing w:afterLines="120" w:line="312" w:lineRule="auto"/>
              <w:jc w:val="center"/>
              <w:rPr>
                <w:rFonts w:hint="default"/>
                <w:color w:val="auto"/>
                <w:sz w:val="24"/>
                <w:szCs w:val="24"/>
                <w:highlight w:val="none"/>
                <w:vertAlign w:val="baseline"/>
                <w:lang w:val="pt-BR"/>
              </w:rPr>
            </w:pPr>
            <w:r>
              <w:rPr>
                <w:rFonts w:hint="default"/>
                <w:color w:val="auto"/>
                <w:sz w:val="24"/>
                <w:szCs w:val="24"/>
                <w:highlight w:val="none"/>
                <w:vertAlign w:val="baseline"/>
                <w:lang w:val="pt-BR"/>
              </w:rPr>
              <w:t>01</w:t>
            </w:r>
          </w:p>
        </w:tc>
        <w:tc>
          <w:tcPr>
            <w:tcW w:w="5251" w:type="dxa"/>
            <w:vAlign w:val="center"/>
          </w:tcPr>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val="0"/>
                <w:bCs w:val="0"/>
                <w:color w:val="auto"/>
                <w:kern w:val="0"/>
                <w:sz w:val="21"/>
                <w:szCs w:val="21"/>
                <w:highlight w:val="none"/>
                <w:lang w:val="en-US" w:eastAsia="pt-BR" w:bidi="ar-SA"/>
              </w:rPr>
            </w:pPr>
            <w:r>
              <w:rPr>
                <w:rFonts w:hint="default" w:ascii="Arial" w:hAnsi="Arial" w:cs="Arial"/>
                <w:b w:val="0"/>
                <w:bCs w:val="0"/>
                <w:color w:val="auto"/>
                <w:kern w:val="0"/>
                <w:sz w:val="21"/>
                <w:szCs w:val="21"/>
                <w:highlight w:val="none"/>
                <w:lang w:val="en-US" w:eastAsia="pt-BR" w:bidi="ar-SA"/>
              </w:rPr>
              <w:t>Lanceta automática descartável - Tipo: agulha retrátil; matéria-prima: aço inoxidável e corpo em plástico; Calibre: 28G; estéril; Disparo: Gatilho com dispositivo de segurança; aplicação: punção digital para amostra de sangue capilar.</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eastAsiaTheme="minorEastAsia"/>
                <w:b w:val="0"/>
                <w:bCs w:val="0"/>
                <w:color w:val="auto"/>
                <w:kern w:val="0"/>
                <w:sz w:val="21"/>
                <w:szCs w:val="21"/>
                <w:highlight w:val="none"/>
                <w:lang w:val="en-US" w:eastAsia="pt-BR" w:bidi="ar-SA"/>
              </w:rPr>
            </w:pPr>
          </w:p>
        </w:tc>
        <w:tc>
          <w:tcPr>
            <w:tcW w:w="3285" w:type="dxa"/>
            <w:vAlign w:val="top"/>
          </w:tcPr>
          <w:p>
            <w:pPr>
              <w:pStyle w:val="56"/>
              <w:numPr>
                <w:ilvl w:val="1"/>
                <w:numId w:val="0"/>
              </w:numPr>
              <w:spacing w:afterLines="120" w:line="312" w:lineRule="auto"/>
              <w:jc w:val="center"/>
              <w:rPr>
                <w:rFonts w:hint="default"/>
                <w:color w:val="auto"/>
                <w:sz w:val="24"/>
                <w:szCs w:val="24"/>
                <w:highlight w:val="none"/>
                <w:vertAlign w:val="baseline"/>
                <w:lang w:val="pt-BR"/>
              </w:rPr>
            </w:pPr>
            <w:r>
              <w:rPr>
                <w:rFonts w:hint="default"/>
                <w:color w:val="auto"/>
                <w:sz w:val="24"/>
                <w:szCs w:val="24"/>
                <w:highlight w:val="none"/>
                <w:vertAlign w:val="baseline"/>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top"/>
          </w:tcPr>
          <w:p>
            <w:pPr>
              <w:pStyle w:val="56"/>
              <w:numPr>
                <w:ilvl w:val="1"/>
                <w:numId w:val="0"/>
              </w:numPr>
              <w:spacing w:afterLines="120" w:line="312" w:lineRule="auto"/>
              <w:jc w:val="center"/>
              <w:rPr>
                <w:rFonts w:hint="default"/>
                <w:color w:val="auto"/>
                <w:sz w:val="24"/>
                <w:szCs w:val="24"/>
                <w:highlight w:val="none"/>
                <w:vertAlign w:val="baseline"/>
                <w:lang w:val="pt-BR"/>
              </w:rPr>
            </w:pPr>
            <w:r>
              <w:rPr>
                <w:rFonts w:hint="default"/>
                <w:color w:val="auto"/>
                <w:sz w:val="24"/>
                <w:szCs w:val="24"/>
                <w:highlight w:val="none"/>
                <w:vertAlign w:val="baseline"/>
                <w:lang w:val="pt-BR"/>
              </w:rPr>
              <w:t>02</w:t>
            </w:r>
          </w:p>
        </w:tc>
        <w:tc>
          <w:tcPr>
            <w:tcW w:w="5251" w:type="dxa"/>
            <w:vAlign w:val="top"/>
          </w:tcPr>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sz w:val="21"/>
                <w:szCs w:val="21"/>
                <w:highlight w:val="none"/>
                <w:lang w:val="en-US" w:eastAsia="pt-BR" w:bidi="ar-SA"/>
              </w:rPr>
            </w:pPr>
            <w:r>
              <w:rPr>
                <w:rFonts w:hint="default" w:ascii="Arial" w:hAnsi="Arial" w:cs="Arial"/>
                <w:kern w:val="0"/>
                <w:sz w:val="21"/>
                <w:szCs w:val="21"/>
                <w:highlight w:val="none"/>
                <w:lang w:val="en-US" w:eastAsia="pt-BR" w:bidi="ar-SA"/>
              </w:rPr>
              <w:t>Tiras Reagentes - Tipo: faixa de leitura mínima igual ou abaixo de 20mg/dl; finalidade: Pesquisa glicemia capilar Glicosímetros digitais.</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bCs/>
                <w:kern w:val="0"/>
                <w:sz w:val="21"/>
                <w:szCs w:val="21"/>
                <w:highlight w:val="none"/>
                <w:lang w:val="en-US" w:eastAsia="pt-BR" w:bidi="ar-SA"/>
              </w:rPr>
            </w:pPr>
            <w:r>
              <w:rPr>
                <w:rFonts w:hint="default" w:ascii="Arial" w:hAnsi="Arial" w:cs="Arial"/>
                <w:b/>
                <w:bCs/>
                <w:kern w:val="0"/>
                <w:sz w:val="21"/>
                <w:szCs w:val="21"/>
                <w:highlight w:val="none"/>
                <w:lang w:val="en-US" w:eastAsia="pt-BR" w:bidi="ar-SA"/>
              </w:rPr>
              <w:t>(Compatível com as tiras fornecidas pelo Estado MG nos últimos três anos – ACCU-CHEK Active – cx com 50 tiras – pois os usuários já possuem este dispositivo que foi distribuído através da compra pela adesão da Ata Estadual).</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eastAsiaTheme="minorEastAsia"/>
                <w:b/>
                <w:bCs/>
                <w:kern w:val="0"/>
                <w:sz w:val="21"/>
                <w:szCs w:val="21"/>
                <w:highlight w:val="none"/>
                <w:lang w:val="en-US" w:eastAsia="pt-BR" w:bidi="ar-SA"/>
              </w:rPr>
            </w:pPr>
            <w:r>
              <w:rPr>
                <w:rFonts w:hint="default" w:ascii="Arial" w:hAnsi="Arial" w:cs="Arial"/>
                <w:b w:val="0"/>
                <w:bCs w:val="0"/>
                <w:color w:val="auto"/>
                <w:kern w:val="0"/>
                <w:sz w:val="21"/>
                <w:szCs w:val="21"/>
                <w:highlight w:val="none"/>
                <w:lang w:val="en-US" w:eastAsia="pt-BR" w:bidi="ar-SA"/>
              </w:rPr>
              <w:t>ATA 282/2020</w:t>
            </w:r>
          </w:p>
        </w:tc>
        <w:tc>
          <w:tcPr>
            <w:tcW w:w="3285" w:type="dxa"/>
            <w:vAlign w:val="top"/>
          </w:tcPr>
          <w:p>
            <w:pPr>
              <w:pStyle w:val="56"/>
              <w:numPr>
                <w:ilvl w:val="1"/>
                <w:numId w:val="0"/>
              </w:numPr>
              <w:spacing w:afterLines="120" w:line="312" w:lineRule="auto"/>
              <w:jc w:val="center"/>
              <w:rPr>
                <w:rFonts w:hint="default"/>
                <w:color w:val="auto"/>
                <w:sz w:val="24"/>
                <w:szCs w:val="24"/>
                <w:highlight w:val="none"/>
                <w:vertAlign w:val="baseline"/>
                <w:lang w:val="pt-BR"/>
              </w:rPr>
            </w:pPr>
            <w:r>
              <w:rPr>
                <w:rFonts w:hint="default"/>
                <w:color w:val="auto"/>
                <w:sz w:val="24"/>
                <w:szCs w:val="24"/>
                <w:highlight w:val="none"/>
                <w:vertAlign w:val="baseline"/>
                <w:lang w:val="pt-BR"/>
              </w:rPr>
              <w:t>ACCU-CHEK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vAlign w:val="top"/>
          </w:tcPr>
          <w:p>
            <w:pPr>
              <w:pStyle w:val="56"/>
              <w:numPr>
                <w:ilvl w:val="1"/>
                <w:numId w:val="0"/>
              </w:numPr>
              <w:spacing w:afterLines="120" w:line="312" w:lineRule="auto"/>
              <w:jc w:val="center"/>
              <w:rPr>
                <w:rFonts w:hint="default"/>
                <w:color w:val="auto"/>
                <w:sz w:val="24"/>
                <w:szCs w:val="24"/>
                <w:highlight w:val="none"/>
                <w:vertAlign w:val="baseline"/>
                <w:lang w:val="pt-BR"/>
              </w:rPr>
            </w:pPr>
            <w:r>
              <w:rPr>
                <w:rFonts w:hint="default"/>
                <w:color w:val="auto"/>
                <w:sz w:val="24"/>
                <w:szCs w:val="24"/>
                <w:highlight w:val="none"/>
                <w:vertAlign w:val="baseline"/>
                <w:lang w:val="pt-BR"/>
              </w:rPr>
              <w:t>03</w:t>
            </w:r>
          </w:p>
        </w:tc>
        <w:tc>
          <w:tcPr>
            <w:tcW w:w="5251" w:type="dxa"/>
            <w:vAlign w:val="top"/>
          </w:tcPr>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sz w:val="21"/>
                <w:szCs w:val="21"/>
                <w:highlight w:val="none"/>
                <w:lang w:val="en-US" w:eastAsia="pt-BR" w:bidi="ar-SA"/>
              </w:rPr>
            </w:pPr>
            <w:r>
              <w:rPr>
                <w:rFonts w:hint="default" w:ascii="Arial" w:hAnsi="Arial" w:cs="Arial"/>
                <w:kern w:val="0"/>
                <w:sz w:val="21"/>
                <w:szCs w:val="21"/>
                <w:highlight w:val="none"/>
                <w:lang w:val="en-US" w:eastAsia="pt-BR" w:bidi="ar-SA"/>
              </w:rPr>
              <w:t>Glicosímetro - Finalidade: Medição de glicemia capilar de uso domiciliar; Tensão: alimentação por pilhas e/ou baterias.</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b/>
                <w:bCs/>
                <w:kern w:val="0"/>
                <w:sz w:val="21"/>
                <w:szCs w:val="21"/>
                <w:highlight w:val="none"/>
                <w:lang w:val="en-US" w:eastAsia="pt-BR" w:bidi="ar-SA"/>
              </w:rPr>
            </w:pPr>
            <w:r>
              <w:rPr>
                <w:rFonts w:hint="default" w:ascii="Arial" w:hAnsi="Arial" w:cs="Arial"/>
                <w:b/>
                <w:bCs/>
                <w:kern w:val="0"/>
                <w:sz w:val="21"/>
                <w:szCs w:val="21"/>
                <w:highlight w:val="none"/>
                <w:lang w:val="en-US" w:eastAsia="pt-BR" w:bidi="ar-SA"/>
              </w:rPr>
              <w:t>(Compatível com glicosímetro fornecido pelo Estado MG nos últimos três anos - ACCU-CHEK Active – para o momento que seja necessário sua substituição por avaria do glicosímetro ou para novas demandas enquanto não for fornecimento pela Ata Estadual).</w:t>
            </w:r>
          </w:p>
          <w:p>
            <w:pPr>
              <w:keepNext w:val="0"/>
              <w:keepLines w:val="0"/>
              <w:pageBreakBefore w:val="0"/>
              <w:widowControl/>
              <w:suppressAutoHyphens/>
              <w:kinsoku/>
              <w:wordWrap/>
              <w:overflowPunct/>
              <w:topLinePunct w:val="0"/>
              <w:autoSpaceDE/>
              <w:autoSpaceDN/>
              <w:bidi w:val="0"/>
              <w:adjustRightInd/>
              <w:snapToGrid/>
              <w:spacing w:before="0" w:after="0" w:line="240" w:lineRule="auto"/>
              <w:jc w:val="both"/>
              <w:textAlignment w:val="auto"/>
              <w:rPr>
                <w:rFonts w:hint="default" w:ascii="Arial" w:hAnsi="Arial" w:cs="Arial" w:eastAsiaTheme="minorEastAsia"/>
                <w:b/>
                <w:bCs/>
                <w:kern w:val="0"/>
                <w:sz w:val="21"/>
                <w:szCs w:val="21"/>
                <w:highlight w:val="none"/>
                <w:lang w:val="en-US" w:eastAsia="pt-BR" w:bidi="ar-SA"/>
              </w:rPr>
            </w:pPr>
            <w:r>
              <w:rPr>
                <w:rFonts w:hint="default" w:ascii="Arial" w:hAnsi="Arial" w:cs="Arial"/>
                <w:b w:val="0"/>
                <w:bCs w:val="0"/>
                <w:color w:val="auto"/>
                <w:kern w:val="0"/>
                <w:sz w:val="21"/>
                <w:szCs w:val="21"/>
                <w:highlight w:val="none"/>
                <w:lang w:val="en-US" w:eastAsia="pt-BR" w:bidi="ar-SA"/>
              </w:rPr>
              <w:t>ATA 282/2020</w:t>
            </w:r>
          </w:p>
        </w:tc>
        <w:tc>
          <w:tcPr>
            <w:tcW w:w="3285" w:type="dxa"/>
            <w:vAlign w:val="top"/>
          </w:tcPr>
          <w:p>
            <w:pPr>
              <w:pStyle w:val="56"/>
              <w:numPr>
                <w:ilvl w:val="1"/>
                <w:numId w:val="0"/>
              </w:numPr>
              <w:spacing w:afterLines="120" w:line="312" w:lineRule="auto"/>
              <w:jc w:val="center"/>
              <w:rPr>
                <w:rFonts w:hint="default"/>
                <w:color w:val="auto"/>
                <w:sz w:val="24"/>
                <w:szCs w:val="24"/>
                <w:highlight w:val="none"/>
                <w:vertAlign w:val="baseline"/>
                <w:lang w:val="pt-BR"/>
              </w:rPr>
            </w:pPr>
            <w:r>
              <w:rPr>
                <w:rFonts w:hint="default"/>
                <w:color w:val="auto"/>
                <w:sz w:val="24"/>
                <w:szCs w:val="24"/>
                <w:highlight w:val="none"/>
                <w:vertAlign w:val="baseline"/>
                <w:lang w:val="pt-BR"/>
              </w:rPr>
              <w:t>ACCU-CHEK Active</w:t>
            </w:r>
          </w:p>
        </w:tc>
      </w:tr>
    </w:tbl>
    <w:p>
      <w:pPr>
        <w:pStyle w:val="56"/>
        <w:numPr>
          <w:ilvl w:val="1"/>
          <w:numId w:val="0"/>
        </w:numPr>
        <w:spacing w:afterLines="120" w:line="312" w:lineRule="auto"/>
        <w:ind w:left="709" w:leftChars="0"/>
        <w:rPr>
          <w:color w:val="auto"/>
          <w:sz w:val="24"/>
          <w:szCs w:val="24"/>
          <w:highlight w:val="none"/>
        </w:rPr>
      </w:pPr>
    </w:p>
    <w:p>
      <w:pPr>
        <w:pStyle w:val="109"/>
        <w:spacing w:before="120" w:afterLines="120" w:line="312" w:lineRule="auto"/>
        <w:ind w:left="0"/>
        <w:rPr>
          <w:color w:val="auto"/>
          <w:sz w:val="24"/>
          <w:szCs w:val="24"/>
          <w:highlight w:val="none"/>
        </w:rPr>
      </w:pPr>
      <w:permStart w:id="6" w:edGrp="everyone"/>
      <w:r>
        <w:rPr>
          <w:color w:val="auto"/>
          <w:sz w:val="24"/>
          <w:szCs w:val="24"/>
          <w:highlight w:val="none"/>
        </w:rPr>
        <w:t>Subcontratação</w:t>
      </w:r>
    </w:p>
    <w:p>
      <w:pPr>
        <w:pStyle w:val="56"/>
        <w:spacing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Lines="120" w:line="312" w:lineRule="auto"/>
        <w:rPr>
          <w:color w:val="auto"/>
          <w:sz w:val="24"/>
          <w:szCs w:val="24"/>
          <w:highlight w:val="none"/>
        </w:rPr>
      </w:pPr>
      <w:r>
        <w:rPr>
          <w:color w:val="auto"/>
          <w:sz w:val="24"/>
          <w:szCs w:val="24"/>
          <w:highlight w:val="none"/>
        </w:rPr>
        <w:t>Garantia da contratação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ermEnd w:id="6"/>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color w:val="000000" w:themeColor="text1"/>
          <w:sz w:val="24"/>
          <w:szCs w:val="24"/>
          <w:highlight w:val="none"/>
          <w14:textFill>
            <w14:solidFill>
              <w14:schemeClr w14:val="tx1"/>
            </w14:solidFill>
          </w14:textFill>
        </w:rPr>
      </w:pPr>
      <w:permStart w:id="7" w:edGrp="everyone"/>
      <w:r>
        <w:rPr>
          <w:color w:val="000000" w:themeColor="text1"/>
          <w:sz w:val="24"/>
          <w:szCs w:val="24"/>
          <w:highlight w:val="none"/>
          <w14:textFill>
            <w14:solidFill>
              <w14:schemeClr w14:val="tx1"/>
            </w14:solidFill>
          </w14:textFill>
        </w:rPr>
        <w:t>Condições de Entrega</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O prazo de entrega do</w:t>
      </w:r>
      <w:r>
        <w:rPr>
          <w:rFonts w:hint="default"/>
          <w:i w:val="0"/>
          <w:iCs w:val="0"/>
          <w:color w:val="auto"/>
          <w:sz w:val="24"/>
          <w:szCs w:val="24"/>
          <w:highlight w:val="none"/>
          <w:lang w:val="pt-BR"/>
        </w:rPr>
        <w:t>s insumos</w:t>
      </w:r>
      <w:r>
        <w:rPr>
          <w:i w:val="0"/>
          <w:iCs w:val="0"/>
          <w:color w:val="auto"/>
          <w:sz w:val="24"/>
          <w:szCs w:val="24"/>
          <w:highlight w:val="none"/>
        </w:rPr>
        <w:t xml:space="preserve"> é de </w:t>
      </w:r>
      <w:r>
        <w:rPr>
          <w:rFonts w:hint="default"/>
          <w:i w:val="0"/>
          <w:iCs w:val="0"/>
          <w:color w:val="auto"/>
          <w:sz w:val="24"/>
          <w:szCs w:val="24"/>
          <w:highlight w:val="none"/>
          <w:lang w:val="pt-BR"/>
        </w:rPr>
        <w:t>15 (quinze)</w:t>
      </w:r>
      <w:r>
        <w:rPr>
          <w:i w:val="0"/>
          <w:iCs w:val="0"/>
          <w:color w:val="auto"/>
          <w:sz w:val="24"/>
          <w:szCs w:val="24"/>
          <w:highlight w:val="none"/>
        </w:rPr>
        <w:t xml:space="preserve"> dias, contados do(a)</w:t>
      </w:r>
      <w:r>
        <w:rPr>
          <w:rFonts w:hint="default"/>
          <w:i w:val="0"/>
          <w:iCs w:val="0"/>
          <w:color w:val="auto"/>
          <w:sz w:val="24"/>
          <w:szCs w:val="24"/>
          <w:highlight w:val="none"/>
          <w:lang w:val="pt-BR"/>
        </w:rPr>
        <w:t xml:space="preserve"> recebimento da ordem de compra (NAF)</w:t>
      </w:r>
      <w:r>
        <w:rPr>
          <w:i w:val="0"/>
          <w:iCs w:val="0"/>
          <w:color w:val="auto"/>
          <w:sz w:val="24"/>
          <w:szCs w:val="24"/>
          <w:highlight w:val="none"/>
        </w:rPr>
        <w:t xml:space="preserve">, em remessa </w:t>
      </w:r>
      <w:r>
        <w:rPr>
          <w:rFonts w:hint="default"/>
          <w:i w:val="0"/>
          <w:iCs w:val="0"/>
          <w:color w:val="auto"/>
          <w:sz w:val="24"/>
          <w:szCs w:val="24"/>
          <w:highlight w:val="none"/>
          <w:lang w:val="pt-BR"/>
        </w:rPr>
        <w:t>parcela de acordo com os quantitativos demandados da secretaria, constantes na NAF.</w:t>
      </w:r>
      <w:r>
        <w:rPr>
          <w:i w:val="0"/>
          <w:iCs w:val="0"/>
          <w:color w:val="auto"/>
          <w:sz w:val="24"/>
          <w:szCs w:val="24"/>
          <w:highlight w:val="none"/>
        </w:rPr>
        <w:t xml:space="preserve"> </w:t>
      </w:r>
    </w:p>
    <w:p>
      <w:pPr>
        <w:pStyle w:val="56"/>
        <w:spacing w:afterLines="120" w:line="312" w:lineRule="auto"/>
        <w:ind w:firstLine="709"/>
        <w:rPr>
          <w:sz w:val="24"/>
          <w:szCs w:val="24"/>
          <w:highlight w:val="none"/>
        </w:rPr>
      </w:pPr>
      <w:r>
        <w:rPr>
          <w:sz w:val="24"/>
          <w:szCs w:val="24"/>
          <w:highlight w:val="none"/>
        </w:rPr>
        <w:t>Os bens deverão ser entregues no seguinte endereço</w:t>
      </w:r>
      <w:r>
        <w:rPr>
          <w:rFonts w:hint="default"/>
          <w:sz w:val="24"/>
          <w:szCs w:val="24"/>
          <w:highlight w:val="none"/>
          <w:lang w:val="pt-BR"/>
        </w:rPr>
        <w:t>: Farmácia de Minas, Rua: Francisca da Silva Campos, n° 60, Bairro: Belvedere - Arcos/MG;</w:t>
      </w:r>
    </w:p>
    <w:p>
      <w:pPr>
        <w:pStyle w:val="56"/>
        <w:spacing w:afterLines="120" w:line="312" w:lineRule="auto"/>
        <w:ind w:firstLine="709"/>
        <w:rPr>
          <w:rFonts w:hint="default" w:ascii="Arial" w:hAnsi="Arial" w:eastAsia="Times New Roman" w:cs="Arial"/>
          <w:color w:val="000000"/>
          <w:sz w:val="24"/>
          <w:szCs w:val="24"/>
          <w:highlight w:val="none"/>
          <w:lang w:val="en-US" w:eastAsia="pt-BR"/>
        </w:rPr>
      </w:pPr>
      <w:r>
        <w:rPr>
          <w:rFonts w:hint="default"/>
          <w:sz w:val="24"/>
          <w:szCs w:val="24"/>
          <w:highlight w:val="none"/>
          <w:lang w:val="pt-BR"/>
        </w:rPr>
        <w:t>Os medicamentos deverão ser entregues com 1/3 (um terço) da validade transcorrido, sob pena de devolução.</w:t>
      </w:r>
    </w:p>
    <w:p>
      <w:pPr>
        <w:pStyle w:val="56"/>
        <w:spacing w:afterLines="120" w:line="312" w:lineRule="auto"/>
        <w:ind w:firstLine="709"/>
        <w:rPr>
          <w:rFonts w:hint="default"/>
          <w:i w:val="0"/>
          <w:iCs w:val="0"/>
          <w:color w:val="auto"/>
          <w:sz w:val="24"/>
          <w:szCs w:val="24"/>
          <w:highlight w:val="none"/>
          <w:lang w:val="pt-BR"/>
        </w:rPr>
      </w:pPr>
      <w:r>
        <w:rPr>
          <w:rFonts w:hint="default" w:ascii="Arial" w:hAnsi="Arial" w:eastAsia="Times New Roman" w:cs="Arial"/>
          <w:color w:val="000000"/>
          <w:sz w:val="24"/>
          <w:szCs w:val="24"/>
          <w:highlight w:val="none"/>
          <w:lang w:val="en-US" w:eastAsia="pt-BR"/>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56"/>
        <w:spacing w:afterLines="120" w:line="312" w:lineRule="auto"/>
        <w:ind w:firstLine="709"/>
        <w:rPr>
          <w:rFonts w:hint="default" w:ascii="Arial" w:hAnsi="Arial" w:eastAsia="Times New Roman" w:cs="Arial"/>
          <w:color w:val="000000"/>
          <w:sz w:val="24"/>
          <w:szCs w:val="24"/>
          <w:lang w:val="en-US" w:eastAsia="pt-BR"/>
        </w:rPr>
      </w:pPr>
      <w:r>
        <w:rPr>
          <w:i w:val="0"/>
          <w:iCs w:val="0"/>
          <w:color w:val="auto"/>
          <w:sz w:val="24"/>
          <w:szCs w:val="24"/>
          <w:highlight w:val="none"/>
        </w:rPr>
        <w:t xml:space="preserve">As parcelas serão entregues </w:t>
      </w:r>
      <w:r>
        <w:rPr>
          <w:rFonts w:hint="default"/>
          <w:i w:val="0"/>
          <w:iCs w:val="0"/>
          <w:color w:val="auto"/>
          <w:sz w:val="24"/>
          <w:szCs w:val="24"/>
          <w:highlight w:val="none"/>
          <w:lang w:val="pt-BR"/>
        </w:rPr>
        <w:t>conforme necessidade da Secretaria Municipal de Saúde de acordo com as quantidades  informada na ordem de serviço.</w:t>
      </w:r>
    </w:p>
    <w:p>
      <w:pPr>
        <w:pStyle w:val="56"/>
        <w:spacing w:afterLines="120" w:line="312" w:lineRule="auto"/>
        <w:ind w:firstLine="709"/>
        <w:rPr>
          <w:rFonts w:hint="default" w:ascii="Arial" w:hAnsi="Arial" w:eastAsia="Times New Roman" w:cs="Arial"/>
          <w:color w:val="000000"/>
          <w:sz w:val="24"/>
          <w:szCs w:val="24"/>
          <w:lang w:val="en-US" w:eastAsia="pt-BR"/>
        </w:rPr>
      </w:pPr>
      <w:r>
        <w:rPr>
          <w:rFonts w:hint="default" w:ascii="Arial" w:hAnsi="Arial" w:eastAsia="Times New Roman" w:cs="Arial"/>
          <w:color w:val="000000"/>
          <w:sz w:val="24"/>
          <w:szCs w:val="24"/>
          <w:lang w:val="pt-BR" w:eastAsia="pt-BR"/>
        </w:rPr>
        <w:t xml:space="preserve">Todos os </w:t>
      </w:r>
      <w:r>
        <w:rPr>
          <w:rFonts w:hint="default" w:ascii="Arial" w:hAnsi="Arial" w:eastAsia="Times New Roman" w:cs="Arial"/>
          <w:color w:val="000000"/>
          <w:sz w:val="24"/>
          <w:szCs w:val="24"/>
          <w:lang w:val="en-US" w:eastAsia="pt-BR"/>
        </w:rPr>
        <w:t>bens</w:t>
      </w:r>
      <w:r>
        <w:rPr>
          <w:rFonts w:hint="default" w:ascii="Arial" w:hAnsi="Arial" w:eastAsia="Times New Roman" w:cs="Arial"/>
          <w:color w:val="000000"/>
          <w:sz w:val="24"/>
          <w:szCs w:val="24"/>
          <w:lang w:val="pt-BR" w:eastAsia="pt-BR"/>
        </w:rPr>
        <w:t xml:space="preserve"> entregues devem seguir os protocolos exigidos pelo Conselho Federal de Farmácia, tendo na embalagem a inscrição do farmacêutico responsável e registro no Ministério da Saúde</w:t>
      </w:r>
      <w:r>
        <w:rPr>
          <w:rFonts w:hint="default" w:ascii="Arial" w:hAnsi="Arial" w:eastAsia="Times New Roman" w:cs="Arial"/>
          <w:color w:val="000000"/>
          <w:sz w:val="24"/>
          <w:szCs w:val="24"/>
          <w:lang w:val="en-US" w:eastAsia="pt-BR"/>
        </w:rPr>
        <w:t>.</w:t>
      </w:r>
    </w:p>
    <w:p>
      <w:pPr>
        <w:pStyle w:val="56"/>
        <w:spacing w:afterLines="120" w:line="312" w:lineRule="auto"/>
        <w:ind w:firstLine="709"/>
        <w:rPr>
          <w:rFonts w:hint="default" w:ascii="Arial" w:hAnsi="Arial" w:eastAsia="Times New Roman" w:cs="Arial"/>
          <w:color w:val="000000"/>
          <w:sz w:val="24"/>
          <w:szCs w:val="24"/>
          <w:highlight w:val="none"/>
          <w:lang w:val="en-US" w:eastAsia="pt-BR"/>
        </w:rPr>
      </w:pPr>
      <w:r>
        <w:rPr>
          <w:rFonts w:hint="default" w:ascii="Arial" w:hAnsi="Arial" w:eastAsia="Times New Roman" w:cs="Arial"/>
          <w:color w:val="000000"/>
          <w:sz w:val="24"/>
          <w:szCs w:val="24"/>
          <w:highlight w:val="none"/>
          <w:lang w:val="en-US" w:eastAsia="pt-BR"/>
        </w:rPr>
        <w:t>A presente demanda deverá ser licitada o mais breve possível, pois a maioria dos ítens são para cumprir demandas da população que necessitam deste insumos e produtos de saúde para acompanhamento e monitoramento da glicemia capilar em usuários que tem diabetes mellitus e são insulino-dependentes, caso não sejam fornecidos pelo Estado. Segue anexo memorando circular nº 5/2024/SES/SUBASS-SAF-DPAF.</w:t>
      </w:r>
    </w:p>
    <w:p>
      <w:pPr>
        <w:pStyle w:val="56"/>
        <w:spacing w:afterLines="120" w:line="312" w:lineRule="auto"/>
        <w:ind w:firstLine="709"/>
        <w:rPr>
          <w:rFonts w:hint="default" w:ascii="Arial" w:hAnsi="Arial" w:eastAsia="Times New Roman" w:cs="Arial"/>
          <w:color w:val="000000"/>
          <w:sz w:val="24"/>
          <w:szCs w:val="24"/>
          <w:highlight w:val="none"/>
          <w:lang w:eastAsia="pt-BR"/>
        </w:rPr>
      </w:pPr>
      <w:r>
        <w:rPr>
          <w:rFonts w:hint="default" w:ascii="Arial" w:hAnsi="Arial" w:eastAsia="Times New Roman" w:cs="Arial"/>
          <w:color w:val="000000"/>
          <w:sz w:val="24"/>
          <w:szCs w:val="24"/>
          <w:highlight w:val="none"/>
          <w:lang w:val="en-US" w:eastAsia="pt-BR"/>
        </w:rPr>
        <w:t xml:space="preserve"> </w:t>
      </w:r>
      <w:r>
        <w:rPr>
          <w:rFonts w:hint="default" w:ascii="Arial" w:hAnsi="Arial" w:eastAsia="Times New Roman" w:cs="Arial"/>
          <w:color w:val="000000"/>
          <w:sz w:val="24"/>
          <w:szCs w:val="24"/>
          <w:highlight w:val="none"/>
          <w:lang w:eastAsia="pt-BR"/>
        </w:rPr>
        <w:t>Caso não seja possível a entrega na data assinalada, a empresa deverá comunicar as razões respectivas com pelo menos 0</w:t>
      </w:r>
      <w:r>
        <w:rPr>
          <w:rFonts w:hint="default" w:ascii="Arial" w:hAnsi="Arial" w:eastAsia="Times New Roman" w:cs="Arial"/>
          <w:color w:val="000000"/>
          <w:sz w:val="24"/>
          <w:szCs w:val="24"/>
          <w:highlight w:val="none"/>
          <w:lang w:val="en-US" w:eastAsia="pt-BR"/>
        </w:rPr>
        <w:t>5 (cinco)</w:t>
      </w:r>
      <w:r>
        <w:rPr>
          <w:rFonts w:hint="default" w:ascii="Arial" w:hAnsi="Arial" w:eastAsia="Times New Roman" w:cs="Arial"/>
          <w:color w:val="000000"/>
          <w:sz w:val="24"/>
          <w:szCs w:val="24"/>
          <w:highlight w:val="none"/>
          <w:lang w:eastAsia="pt-BR"/>
        </w:rPr>
        <w:t xml:space="preserve"> dias de antecedência para que qualquer pleito de prorrogação de prazo seja analisado, ressalvadas situações de caso fortuito e força maior.</w:t>
      </w:r>
      <w:r>
        <w:rPr>
          <w:rFonts w:hint="default" w:ascii="Arial" w:hAnsi="Arial" w:eastAsia="Times New Roman" w:cs="Arial"/>
          <w:color w:val="000000"/>
          <w:sz w:val="24"/>
          <w:szCs w:val="24"/>
          <w:highlight w:val="none"/>
          <w:lang w:val="en-US" w:eastAsia="pt-BR"/>
        </w:rPr>
        <w:t xml:space="preserve"> </w:t>
      </w:r>
    </w:p>
    <w:p>
      <w:pPr>
        <w:pStyle w:val="56"/>
        <w:spacing w:afterLines="120" w:line="312" w:lineRule="auto"/>
        <w:ind w:firstLine="709"/>
        <w:rPr>
          <w:rFonts w:hint="default" w:ascii="Arial" w:hAnsi="Arial" w:eastAsia="Times New Roman" w:cs="Arial"/>
          <w:color w:val="000000"/>
          <w:sz w:val="24"/>
          <w:szCs w:val="24"/>
          <w:highlight w:val="none"/>
          <w:lang w:eastAsia="pt-BR"/>
        </w:rPr>
      </w:pPr>
      <w:r>
        <w:rPr>
          <w:rFonts w:hint="default" w:ascii="Arial" w:hAnsi="Arial" w:cs="Arial"/>
          <w:highlight w:val="none"/>
          <w:lang w:val="pt-BR"/>
        </w:rPr>
        <w:t xml:space="preserve"> </w:t>
      </w:r>
      <w:r>
        <w:rPr>
          <w:rFonts w:hint="default" w:ascii="Arial" w:hAnsi="Arial" w:cs="Arial"/>
          <w:sz w:val="24"/>
          <w:szCs w:val="24"/>
          <w:highlight w:val="none"/>
          <w:lang w:val="pt-BR"/>
        </w:rPr>
        <w:t>A CONTRATADA ficará responsável pela entrega dos produtos, mesmo em locais que contenham mais de 1 (um) piso.</w:t>
      </w:r>
    </w:p>
    <w:p>
      <w:pPr>
        <w:pStyle w:val="56"/>
        <w:spacing w:afterLines="120" w:line="312" w:lineRule="auto"/>
        <w:ind w:firstLine="709"/>
        <w:rPr>
          <w:rFonts w:hint="default" w:ascii="Arial" w:hAnsi="Arial" w:eastAsia="Times New Roman" w:cs="Arial"/>
          <w:color w:val="000000"/>
          <w:sz w:val="24"/>
          <w:szCs w:val="24"/>
          <w:highlight w:val="none"/>
          <w:lang w:eastAsia="pt-BR"/>
        </w:rPr>
      </w:pPr>
      <w:r>
        <w:rPr>
          <w:rFonts w:hint="default" w:ascii="Arial" w:hAnsi="Arial" w:eastAsia="Times New Roman" w:cs="Arial"/>
          <w:color w:val="000000"/>
          <w:sz w:val="24"/>
          <w:szCs w:val="24"/>
          <w:highlight w:val="none"/>
          <w:lang w:eastAsia="pt-BR"/>
        </w:rPr>
        <w:t>Uma vez notificado, o Contratado realizará a substituição dos materiais que apresentarem  defeito</w:t>
      </w:r>
      <w:r>
        <w:rPr>
          <w:rFonts w:hint="default" w:eastAsia="Times New Roman" w:cs="Arial"/>
          <w:color w:val="000000"/>
          <w:sz w:val="24"/>
          <w:szCs w:val="24"/>
          <w:highlight w:val="none"/>
          <w:lang w:val="en-US" w:eastAsia="pt-BR"/>
        </w:rPr>
        <w:t xml:space="preserve"> ou avarias</w:t>
      </w:r>
      <w:bookmarkStart w:id="2" w:name="_GoBack"/>
      <w:bookmarkEnd w:id="2"/>
      <w:r>
        <w:rPr>
          <w:rFonts w:hint="default" w:ascii="Arial" w:hAnsi="Arial" w:eastAsia="Times New Roman" w:cs="Arial"/>
          <w:color w:val="000000"/>
          <w:sz w:val="24"/>
          <w:szCs w:val="24"/>
          <w:highlight w:val="none"/>
          <w:lang w:eastAsia="pt-BR"/>
        </w:rPr>
        <w:t xml:space="preserve"> no prazo de até 0</w:t>
      </w:r>
      <w:r>
        <w:rPr>
          <w:rFonts w:hint="default" w:ascii="Arial" w:hAnsi="Arial" w:eastAsia="Times New Roman" w:cs="Arial"/>
          <w:color w:val="000000"/>
          <w:sz w:val="24"/>
          <w:szCs w:val="24"/>
          <w:highlight w:val="none"/>
          <w:lang w:val="en-US" w:eastAsia="pt-BR"/>
        </w:rPr>
        <w:t>5</w:t>
      </w:r>
      <w:r>
        <w:rPr>
          <w:rFonts w:hint="default" w:ascii="Arial" w:hAnsi="Arial" w:eastAsia="Times New Roman" w:cs="Arial"/>
          <w:color w:val="000000"/>
          <w:sz w:val="24"/>
          <w:szCs w:val="24"/>
          <w:highlight w:val="none"/>
          <w:lang w:eastAsia="pt-BR"/>
        </w:rPr>
        <w:t xml:space="preserve"> (</w:t>
      </w:r>
      <w:r>
        <w:rPr>
          <w:rFonts w:hint="default" w:ascii="Arial" w:hAnsi="Arial" w:eastAsia="Times New Roman" w:cs="Arial"/>
          <w:color w:val="000000"/>
          <w:sz w:val="24"/>
          <w:szCs w:val="24"/>
          <w:highlight w:val="none"/>
          <w:lang w:val="en-US" w:eastAsia="pt-BR"/>
        </w:rPr>
        <w:t>cinco</w:t>
      </w:r>
      <w:r>
        <w:rPr>
          <w:rFonts w:hint="default" w:ascii="Arial" w:hAnsi="Arial" w:eastAsia="Times New Roman" w:cs="Arial"/>
          <w:color w:val="000000"/>
          <w:sz w:val="24"/>
          <w:szCs w:val="24"/>
          <w:highlight w:val="none"/>
          <w:lang w:eastAsia="pt-BR"/>
        </w:rPr>
        <w:t>) dias úteis, contados a partir da data de retirada do material das dependências da Administração pelo Contratado.</w:t>
      </w:r>
    </w:p>
    <w:p>
      <w:pPr>
        <w:pStyle w:val="56"/>
        <w:spacing w:afterLines="120" w:line="312" w:lineRule="auto"/>
        <w:ind w:firstLine="709"/>
        <w:rPr>
          <w:sz w:val="24"/>
          <w:szCs w:val="24"/>
          <w:highlight w:val="none"/>
        </w:rPr>
      </w:pPr>
      <w:r>
        <w:rPr>
          <w:rFonts w:hint="default" w:ascii="Arial" w:hAnsi="Arial" w:eastAsia="Times New Roman" w:cs="Arial"/>
          <w:color w:val="000000"/>
          <w:sz w:val="24"/>
          <w:szCs w:val="24"/>
          <w:highlight w:val="none"/>
          <w:lang w:eastAsia="pt-BR"/>
        </w:rPr>
        <w:t>O prazo indicado no subitem anterior, durante seu transcurso, poderá ser prorrogado uma única vez, por igual período, mediante solicitação escrita e justificada do Contratado, aceita pelo Contratante.</w:t>
      </w:r>
    </w:p>
    <w:p>
      <w:pPr>
        <w:pStyle w:val="56"/>
        <w:spacing w:afterLines="120" w:line="312" w:lineRule="auto"/>
        <w:ind w:firstLine="709"/>
        <w:rPr>
          <w:sz w:val="24"/>
          <w:szCs w:val="24"/>
          <w:highlight w:val="none"/>
        </w:rPr>
      </w:pPr>
      <w:r>
        <w:rPr>
          <w:rFonts w:hint="default" w:ascii="Arial" w:hAnsi="Arial" w:eastAsia="Times New Roman" w:cs="Arial"/>
          <w:color w:val="000000"/>
          <w:sz w:val="24"/>
          <w:szCs w:val="24"/>
          <w:highlight w:val="none"/>
          <w:lang w:eastAsia="pt-BR"/>
        </w:rPr>
        <w:t>O custo referente ao transporte dos materiais cobertos pela garantia será de responsabilidade d</w:t>
      </w:r>
      <w:r>
        <w:rPr>
          <w:rFonts w:hint="default" w:ascii="Arial" w:hAnsi="Arial" w:eastAsia="Times New Roman" w:cs="Arial"/>
          <w:color w:val="000000"/>
          <w:sz w:val="24"/>
          <w:szCs w:val="24"/>
          <w:highlight w:val="none"/>
          <w:lang w:val="en-US" w:eastAsia="pt-BR"/>
        </w:rPr>
        <w:t>a CONTRATADA</w:t>
      </w:r>
      <w:r>
        <w:rPr>
          <w:rFonts w:hint="default" w:ascii="Arial" w:hAnsi="Arial" w:eastAsia="Times New Roman" w:cs="Arial"/>
          <w:color w:val="000000"/>
          <w:sz w:val="24"/>
          <w:szCs w:val="24"/>
          <w:highlight w:val="none"/>
          <w:lang w:eastAsia="pt-BR"/>
        </w:rPr>
        <w:t>.</w:t>
      </w:r>
    </w:p>
    <w:p>
      <w:pPr>
        <w:pStyle w:val="109"/>
        <w:spacing w:before="120" w:afterLines="120" w:line="312" w:lineRule="auto"/>
        <w:rPr>
          <w:rFonts w:hint="default"/>
          <w:color w:val="auto"/>
          <w:sz w:val="24"/>
          <w:szCs w:val="24"/>
          <w:highlight w:val="none"/>
          <w:lang w:val="pt-BR"/>
        </w:rPr>
      </w:pPr>
      <w:r>
        <w:rPr>
          <w:color w:val="auto"/>
          <w:sz w:val="24"/>
          <w:szCs w:val="24"/>
          <w:highlight w:val="none"/>
        </w:rPr>
        <w:t>Garantia</w:t>
      </w:r>
      <w:r>
        <w:rPr>
          <w:rFonts w:hint="default"/>
          <w:color w:val="auto"/>
          <w:sz w:val="24"/>
          <w:szCs w:val="24"/>
          <w:highlight w:val="none"/>
          <w:lang w:val="pt-BR"/>
        </w:rPr>
        <w:t>:</w:t>
      </w:r>
    </w:p>
    <w:p>
      <w:pPr>
        <w:pStyle w:val="56"/>
        <w:spacing w:afterLines="120" w:line="312" w:lineRule="auto"/>
        <w:rPr>
          <w:sz w:val="24"/>
          <w:szCs w:val="24"/>
          <w:highlight w:val="none"/>
        </w:rPr>
      </w:pPr>
      <w:r>
        <w:rPr>
          <w:sz w:val="24"/>
          <w:szCs w:val="24"/>
          <w:highlight w:val="none"/>
        </w:rPr>
        <w:t>O prazo de garantia é aquele estabelecido na Lei nº 8.078, de 11 de setembro de 1990 (Código de Defesa do Consumidor)</w:t>
      </w:r>
    </w:p>
    <w:permEnd w:id="7"/>
    <w:p>
      <w:pPr>
        <w:pStyle w:val="39"/>
        <w:spacing w:before="120" w:afterLines="120" w:line="312" w:lineRule="auto"/>
        <w:rPr>
          <w:sz w:val="24"/>
          <w:szCs w:val="24"/>
          <w:highlight w:val="none"/>
        </w:rPr>
      </w:pPr>
      <w:r>
        <w:rPr>
          <w:sz w:val="24"/>
          <w:szCs w:val="24"/>
          <w:highlight w:val="none"/>
        </w:rPr>
        <w:t>MODELO DE GESTÃO DO CONTRATO</w:t>
      </w:r>
    </w:p>
    <w:p>
      <w:pPr>
        <w:pStyle w:val="56"/>
        <w:spacing w:afterLines="120" w:line="312" w:lineRule="auto"/>
        <w:ind w:firstLine="709"/>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firstLine="709"/>
        <w:rPr>
          <w:sz w:val="24"/>
          <w:szCs w:val="24"/>
          <w:highlight w:val="none"/>
        </w:rPr>
      </w:pPr>
      <w:r>
        <w:rPr>
          <w:sz w:val="24"/>
          <w:szCs w:val="24"/>
          <w:highlight w:val="none"/>
        </w:rPr>
        <w:t>A execução do contrato deverá ser acompanhada e fiscalizada pelo(s) fiscal(is) do contrato, ou pelos respectivos substitutos (</w:t>
      </w:r>
      <w:r>
        <w:rPr>
          <w:highlight w:val="none"/>
        </w:rPr>
        <w:fldChar w:fldCharType="begin"/>
      </w:r>
      <w:r>
        <w:rPr>
          <w:highlight w:val="none"/>
        </w:rPr>
        <w:instrText xml:space="preserve"> HYPERLINK "http://www.planalto.gov.br/ccivil_03/_ato2019-2022/2021/lei/L14133.htm" \l "art117" </w:instrText>
      </w:r>
      <w:r>
        <w:rPr>
          <w:highlight w:val="none"/>
        </w:rPr>
        <w:fldChar w:fldCharType="separate"/>
      </w:r>
      <w:r>
        <w:rPr>
          <w:rStyle w:val="13"/>
          <w:sz w:val="24"/>
          <w:szCs w:val="24"/>
          <w:highlight w:val="none"/>
        </w:rPr>
        <w:t>Lei nº 14.133, de 2021, art. 117, caput</w:t>
      </w:r>
      <w:r>
        <w:rPr>
          <w:rStyle w:val="13"/>
          <w:sz w:val="24"/>
          <w:szCs w:val="24"/>
          <w:highlight w:val="none"/>
        </w:rPr>
        <w:fldChar w:fldCharType="end"/>
      </w:r>
      <w:r>
        <w:rPr>
          <w:sz w:val="24"/>
          <w:szCs w:val="24"/>
          <w:highlight w:val="none"/>
        </w:rPr>
        <w:t>), sendo indicado para a presente contratação o servidor</w:t>
      </w:r>
      <w:r>
        <w:rPr>
          <w:rFonts w:hint="default"/>
          <w:sz w:val="24"/>
          <w:szCs w:val="24"/>
          <w:highlight w:val="none"/>
          <w:lang w:val="pt-BR"/>
        </w:rPr>
        <w:t xml:space="preserve"> Sra. Kelly Christina de Sousa Zuquim (MASP 106115/1) p</w:t>
      </w:r>
      <w:r>
        <w:rPr>
          <w:sz w:val="24"/>
          <w:szCs w:val="24"/>
          <w:highlight w:val="none"/>
        </w:rPr>
        <w:t>ara atuar como fiscal do contrato e o servidor</w:t>
      </w:r>
      <w:r>
        <w:rPr>
          <w:rFonts w:hint="default"/>
          <w:sz w:val="24"/>
          <w:szCs w:val="24"/>
          <w:highlight w:val="none"/>
          <w:lang w:val="pt-BR"/>
        </w:rPr>
        <w:t xml:space="preserve"> Sr.Tiago Carvalho de Oliveira (MASP 5987/0) p</w:t>
      </w:r>
      <w:r>
        <w:rPr>
          <w:sz w:val="24"/>
          <w:szCs w:val="24"/>
          <w:highlight w:val="none"/>
        </w:rPr>
        <w:t>ara atuar como gestor do contrato.</w:t>
      </w:r>
    </w:p>
    <w:p>
      <w:pPr>
        <w:pStyle w:val="56"/>
        <w:spacing w:afterLines="120" w:line="312" w:lineRule="auto"/>
        <w:ind w:firstLine="709"/>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firstLine="709"/>
        <w:rPr>
          <w:sz w:val="24"/>
          <w:szCs w:val="24"/>
          <w:highlight w:val="none"/>
          <w:lang w:eastAsia="en-US"/>
        </w:rPr>
      </w:pPr>
      <w:r>
        <w:rPr>
          <w:sz w:val="24"/>
          <w:szCs w:val="24"/>
          <w:highlight w:val="none"/>
          <w:lang w:eastAsia="en-US"/>
        </w:rPr>
        <w:t xml:space="preserve">Os </w:t>
      </w:r>
      <w:r>
        <w:rPr>
          <w:rFonts w:hint="default"/>
          <w:sz w:val="24"/>
          <w:szCs w:val="24"/>
          <w:highlight w:val="none"/>
          <w:lang w:val="pt-BR" w:eastAsia="en-US"/>
        </w:rPr>
        <w:t>insumos</w:t>
      </w:r>
      <w:r>
        <w:rPr>
          <w:sz w:val="24"/>
          <w:szCs w:val="24"/>
          <w:highlight w:val="none"/>
          <w:lang w:eastAsia="en-US"/>
        </w:rPr>
        <w:t xml:space="preserve"> serão recebidos de forma sumária, no ato da entrega, juntamente com a </w:t>
      </w:r>
      <w:r>
        <w:rPr>
          <w:rFonts w:eastAsia="Calibri"/>
          <w:sz w:val="24"/>
          <w:szCs w:val="24"/>
          <w:highlight w:val="none"/>
          <w:lang w:eastAsia="en-US"/>
        </w:rPr>
        <w:t>nota</w:t>
      </w:r>
      <w:r>
        <w:rPr>
          <w:sz w:val="24"/>
          <w:szCs w:val="24"/>
          <w:highlight w:val="none"/>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highlight w:val="none"/>
          <w:lang w:eastAsia="en-US"/>
        </w:rPr>
        <w:t xml:space="preserve"> </w:t>
      </w:r>
      <w:r>
        <w:rPr>
          <w:sz w:val="24"/>
          <w:szCs w:val="24"/>
          <w:highlight w:val="none"/>
          <w:lang w:eastAsia="en-US"/>
        </w:rPr>
        <w:t>e na proposta.</w:t>
      </w:r>
    </w:p>
    <w:p>
      <w:pPr>
        <w:pStyle w:val="56"/>
        <w:spacing w:afterLines="120" w:line="312" w:lineRule="auto"/>
        <w:ind w:firstLine="709"/>
        <w:rPr>
          <w:sz w:val="24"/>
          <w:szCs w:val="24"/>
          <w:highlight w:val="none"/>
          <w:lang w:eastAsia="en-US"/>
        </w:rPr>
      </w:pPr>
      <w:r>
        <w:rPr>
          <w:sz w:val="24"/>
          <w:szCs w:val="24"/>
          <w:highlight w:val="none"/>
          <w:lang w:eastAsia="en-US"/>
        </w:rPr>
        <w:t>Os itens poderão ser rejeitados, no todo ou em parte, inclusive antes do recebimento provisório,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substituídos no prazo </w:t>
      </w:r>
      <w:permStart w:id="8"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8"/>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firstLine="709"/>
        <w:rPr>
          <w:sz w:val="24"/>
          <w:szCs w:val="24"/>
          <w:highlight w:val="none"/>
          <w:lang w:eastAsia="en-US"/>
        </w:rPr>
      </w:pPr>
      <w:r>
        <w:rPr>
          <w:sz w:val="24"/>
          <w:szCs w:val="24"/>
          <w:highlight w:val="none"/>
          <w:lang w:eastAsia="en-US"/>
        </w:rPr>
        <w:t>O recebimento definitivo ocorrerá</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firstLine="709"/>
        <w:rPr>
          <w:sz w:val="24"/>
          <w:szCs w:val="24"/>
          <w:highlight w:val="none"/>
          <w:lang w:eastAsia="en-US"/>
        </w:rPr>
      </w:pPr>
      <w:r>
        <w:rPr>
          <w:sz w:val="24"/>
          <w:szCs w:val="24"/>
          <w:highlight w:val="none"/>
          <w:lang w:eastAsia="en-US"/>
        </w:rPr>
        <w:t xml:space="preserve">O prazo para recebimento definitivo 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firstLine="709"/>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firstLine="709"/>
        <w:rPr>
          <w:sz w:val="24"/>
          <w:szCs w:val="24"/>
          <w:highlight w:val="none"/>
          <w:lang w:eastAsia="en-US"/>
        </w:rPr>
      </w:pPr>
      <w:r>
        <w:rPr>
          <w:sz w:val="24"/>
          <w:szCs w:val="24"/>
          <w:highlight w:val="none"/>
          <w:lang w:eastAsia="en-US"/>
        </w:rPr>
        <w:t>O recebimento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firstLine="709"/>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 xml:space="preserve">art. 68 da Lei nº 14.133, de 2021.  </w:t>
      </w:r>
      <w:r>
        <w:rPr>
          <w:rStyle w:val="13"/>
          <w:sz w:val="24"/>
          <w:szCs w:val="24"/>
          <w:highlight w:val="none"/>
          <w:lang w:eastAsia="en-US"/>
        </w:rPr>
        <w:fldChar w:fldCharType="end"/>
      </w:r>
      <w:r>
        <w:rPr>
          <w:sz w:val="24"/>
          <w:szCs w:val="24"/>
          <w:highlight w:val="none"/>
          <w:lang w:eastAsia="en-US"/>
        </w:rPr>
        <w:t xml:space="preserve"> </w:t>
      </w:r>
    </w:p>
    <w:p>
      <w:pPr>
        <w:pStyle w:val="56"/>
        <w:spacing w:afterLines="120" w:line="312" w:lineRule="auto"/>
        <w:ind w:firstLine="709"/>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firstLine="709"/>
        <w:rPr>
          <w:sz w:val="24"/>
          <w:szCs w:val="24"/>
          <w:highlight w:val="none"/>
        </w:rPr>
      </w:pPr>
      <w:r>
        <w:rPr>
          <w:sz w:val="24"/>
          <w:szCs w:val="24"/>
          <w:highlight w:val="none"/>
        </w:rPr>
        <w:t xml:space="preserve">O pagamento será efetuado no prazo de até </w:t>
      </w:r>
      <w:permStart w:id="9" w:edGrp="everyone"/>
      <w:r>
        <w:rPr>
          <w:sz w:val="24"/>
          <w:szCs w:val="24"/>
          <w:highlight w:val="none"/>
        </w:rPr>
        <w:t>trinta</w:t>
      </w:r>
      <w:permEnd w:id="9"/>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firstLine="709"/>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firstLine="709"/>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rFonts w:ascii="Arial" w:hAnsi="Arial" w:cs="Arial"/>
          <w:b/>
          <w:color w:val="FF0000"/>
          <w:sz w:val="24"/>
          <w:szCs w:val="24"/>
          <w:highlight w:val="none"/>
          <w:shd w:val="clear" w:color="auto" w:fill="FFFFFF"/>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firstLine="709"/>
        <w:rPr>
          <w:sz w:val="24"/>
          <w:szCs w:val="24"/>
          <w:highlight w:val="none"/>
        </w:rPr>
      </w:pPr>
      <w:r>
        <w:rPr>
          <w:rFonts w:eastAsia="Arial"/>
          <w:sz w:val="24"/>
          <w:szCs w:val="24"/>
          <w:highlight w:val="none"/>
        </w:rPr>
        <w:t xml:space="preserve">O fornecedor será selecionado por meio da realização de procedimento de LICITAÇÃO, na modalidade </w:t>
      </w:r>
      <w:permStart w:id="10" w:edGrp="everyone"/>
      <w:r>
        <w:rPr>
          <w:rFonts w:hint="default" w:eastAsia="Arial"/>
          <w:sz w:val="24"/>
          <w:szCs w:val="24"/>
          <w:highlight w:val="none"/>
          <w:lang w:val="pt-BR"/>
        </w:rPr>
        <w:t>PREGÃO via REGISTRO DE PREÇOS</w:t>
      </w:r>
      <w:r>
        <w:rPr>
          <w:rFonts w:eastAsia="Arial"/>
          <w:sz w:val="24"/>
          <w:szCs w:val="24"/>
          <w:highlight w:val="none"/>
        </w:rPr>
        <w:t>,</w:t>
      </w:r>
      <w:permEnd w:id="10"/>
      <w:r>
        <w:rPr>
          <w:rFonts w:eastAsia="Arial"/>
          <w:sz w:val="24"/>
          <w:szCs w:val="24"/>
          <w:highlight w:val="none"/>
        </w:rPr>
        <w:t xml:space="preserve"> sob a forma ELETRÔNICA, com adoção do critério de julgamento </w:t>
      </w:r>
      <w:permStart w:id="11" w:edGrp="everyone"/>
      <w:r>
        <w:rPr>
          <w:rFonts w:eastAsia="Arial"/>
          <w:sz w:val="24"/>
          <w:szCs w:val="24"/>
          <w:highlight w:val="none"/>
        </w:rPr>
        <w:t xml:space="preserve">pelo </w:t>
      </w:r>
      <w:r>
        <w:rPr>
          <w:rFonts w:hint="default" w:eastAsia="Arial"/>
          <w:color w:val="auto"/>
          <w:sz w:val="24"/>
          <w:szCs w:val="24"/>
          <w:highlight w:val="none"/>
          <w:lang w:val="pt-BR"/>
        </w:rPr>
        <w:t>menor preço por item.</w:t>
      </w:r>
      <w:permEnd w:id="11"/>
    </w:p>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firstLine="709"/>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jurídica</w:t>
      </w:r>
    </w:p>
    <w:p>
      <w:pPr>
        <w:pStyle w:val="56"/>
        <w:spacing w:afterLines="120" w:line="312" w:lineRule="auto"/>
        <w:ind w:firstLine="709"/>
        <w:rPr>
          <w:sz w:val="24"/>
          <w:szCs w:val="24"/>
          <w:highlight w:val="none"/>
        </w:rPr>
      </w:pPr>
      <w:r>
        <w:rPr>
          <w:b/>
          <w:bCs/>
          <w:sz w:val="24"/>
          <w:szCs w:val="24"/>
          <w:highlight w:val="none"/>
        </w:rPr>
        <w:t>Empresário individual:</w:t>
      </w:r>
      <w:r>
        <w:rPr>
          <w:sz w:val="24"/>
          <w:szCs w:val="24"/>
          <w:highlight w:val="none"/>
        </w:rPr>
        <w:t xml:space="preserve"> inscrição no Registro Público de Empresas Mercantis, a cargo da Junta Comercial da respectiva sede; </w:t>
      </w:r>
    </w:p>
    <w:p>
      <w:pPr>
        <w:pStyle w:val="56"/>
        <w:spacing w:afterLines="120" w:line="312" w:lineRule="auto"/>
        <w:ind w:firstLine="709"/>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firstLine="709"/>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firstLine="709"/>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firstLine="709"/>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firstLine="709"/>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highlight w:val="none"/>
        </w:rPr>
      </w:pPr>
      <w:r>
        <w:rPr>
          <w:sz w:val="24"/>
          <w:szCs w:val="24"/>
          <w:highlight w:val="none"/>
        </w:rPr>
        <w:t>Prova de regularidade com o Fundo de Garantia do Tempo de Serviço (FGTS);</w:t>
      </w:r>
    </w:p>
    <w:p>
      <w:pPr>
        <w:pStyle w:val="56"/>
        <w:spacing w:afterLines="120" w:line="312" w:lineRule="auto"/>
        <w:ind w:firstLine="709"/>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firstLine="709"/>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firstLine="709"/>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firstLine="709"/>
        <w:rPr>
          <w:sz w:val="24"/>
          <w:szCs w:val="24"/>
          <w:highlight w:val="none"/>
        </w:rPr>
      </w:pPr>
      <w:r>
        <w:rPr>
          <w:sz w:val="24"/>
          <w:szCs w:val="24"/>
          <w:highlight w:val="none"/>
        </w:rPr>
        <w:t xml:space="preserve">Balanço patrimonial, demonstração de resultado de exercício e demais demonstrações contábeis relativos ao último exercício </w:t>
      </w:r>
      <w:permStart w:id="12" w:edGrp="everyone"/>
      <w:r>
        <w:rPr>
          <w:sz w:val="24"/>
          <w:szCs w:val="24"/>
          <w:highlight w:val="none"/>
        </w:rPr>
        <w:t>2022.</w:t>
      </w:r>
      <w:permEnd w:id="12"/>
      <w:r>
        <w:rPr>
          <w:sz w:val="24"/>
          <w:szCs w:val="24"/>
          <w:highlight w:val="none"/>
        </w:rPr>
        <w:t xml:space="preserve"> (Lei nº 14.133, de 2021, art. 69, §6º).</w:t>
      </w:r>
    </w:p>
    <w:p>
      <w:pPr>
        <w:pStyle w:val="56"/>
        <w:spacing w:afterLines="120" w:line="312" w:lineRule="auto"/>
        <w:ind w:firstLine="709"/>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Comprovação de aptidão para o fornecimento de </w:t>
      </w:r>
      <w:permStart w:id="13" w:edGrp="everyone"/>
      <w:r>
        <w:rPr>
          <w:i w:val="0"/>
          <w:iCs w:val="0"/>
          <w:color w:val="auto"/>
          <w:sz w:val="24"/>
          <w:szCs w:val="24"/>
          <w:highlight w:val="none"/>
        </w:rPr>
        <w:t xml:space="preserve">bens/serviços </w:t>
      </w:r>
      <w:permEnd w:id="13"/>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 xml:space="preserve">Para fins da comprovação de que trata este subitem, os atestados deverão dizer respeito a contratos executados com as seguintes características mínimas: </w:t>
      </w:r>
      <w:permStart w:id="14" w:edGrp="everyone"/>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2"/>
          <w:szCs w:val="22"/>
          <w:highlight w:val="none"/>
        </w:rPr>
      </w:pPr>
      <w:r>
        <w:rPr>
          <w:rFonts w:hint="default" w:ascii="Arial" w:hAnsi="Arial" w:cs="Arial"/>
          <w:i w:val="0"/>
          <w:iCs w:val="0"/>
          <w:color w:val="auto"/>
          <w:sz w:val="22"/>
          <w:szCs w:val="22"/>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2"/>
          <w:szCs w:val="22"/>
          <w:highlight w:val="none"/>
        </w:rPr>
      </w:pPr>
      <w:r>
        <w:rPr>
          <w:rFonts w:hint="default" w:ascii="Arial" w:hAnsi="Arial" w:cs="Arial"/>
          <w:i w:val="0"/>
          <w:iCs w:val="0"/>
          <w:color w:val="auto"/>
          <w:sz w:val="22"/>
          <w:szCs w:val="22"/>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2"/>
          <w:szCs w:val="22"/>
          <w:highlight w:val="none"/>
        </w:rPr>
      </w:pPr>
      <w:r>
        <w:rPr>
          <w:rFonts w:hint="default" w:ascii="Arial" w:hAnsi="Arial" w:cs="Arial"/>
          <w:i w:val="0"/>
          <w:iCs w:val="0"/>
          <w:color w:val="auto"/>
          <w:sz w:val="22"/>
          <w:szCs w:val="22"/>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Período de fornecimento/prestação de serviço</w:t>
      </w:r>
    </w:p>
    <w:permEnd w:id="14"/>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rFonts w:hint="default" w:ascii="Arial" w:hAnsi="Arial" w:eastAsia="Times New Roman" w:cs="Arial"/>
          <w:color w:val="000000"/>
          <w:sz w:val="24"/>
          <w:szCs w:val="24"/>
          <w:highlight w:val="none"/>
          <w:lang w:val="pt-BR" w:eastAsia="pt-BR"/>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ermStart w:id="15" w:edGrp="everyone"/>
    </w:p>
    <w:p>
      <w:pPr>
        <w:pStyle w:val="104"/>
        <w:spacing w:afterLines="120" w:line="312" w:lineRule="auto"/>
        <w:ind w:left="170" w:firstLine="709"/>
        <w:rPr>
          <w:rFonts w:hint="default"/>
          <w:i w:val="0"/>
          <w:iCs w:val="0"/>
          <w:color w:val="auto"/>
          <w:sz w:val="24"/>
          <w:szCs w:val="24"/>
          <w:highlight w:val="none"/>
          <w:lang w:val="pt-BR" w:eastAsia="zh-CN"/>
        </w:rPr>
      </w:pPr>
      <w:r>
        <w:rPr>
          <w:rFonts w:hint="default"/>
          <w:i w:val="0"/>
          <w:iCs w:val="0"/>
          <w:color w:val="auto"/>
          <w:sz w:val="24"/>
          <w:szCs w:val="24"/>
          <w:highlight w:val="none"/>
          <w:lang w:val="pt-BR"/>
        </w:rPr>
        <w:t>Apresentar A</w:t>
      </w:r>
      <w:r>
        <w:rPr>
          <w:rFonts w:hint="default"/>
          <w:i w:val="0"/>
          <w:iCs w:val="0"/>
          <w:color w:val="auto"/>
          <w:sz w:val="24"/>
          <w:szCs w:val="24"/>
          <w:highlight w:val="none"/>
          <w:lang w:val="pt-BR" w:eastAsia="pt-BR"/>
        </w:rPr>
        <w:t xml:space="preserve">lvará </w:t>
      </w:r>
      <w:r>
        <w:rPr>
          <w:rFonts w:hint="default"/>
          <w:i w:val="0"/>
          <w:iCs w:val="0"/>
          <w:color w:val="auto"/>
          <w:sz w:val="24"/>
          <w:szCs w:val="24"/>
          <w:highlight w:val="none"/>
          <w:lang w:val="en-US" w:eastAsia="pt-BR"/>
        </w:rPr>
        <w:t>S</w:t>
      </w:r>
      <w:r>
        <w:rPr>
          <w:rFonts w:hint="default"/>
          <w:i w:val="0"/>
          <w:iCs w:val="0"/>
          <w:color w:val="auto"/>
          <w:sz w:val="24"/>
          <w:szCs w:val="24"/>
          <w:highlight w:val="none"/>
          <w:lang w:val="pt-BR" w:eastAsia="pt-BR"/>
        </w:rPr>
        <w:t>anitário (Licença Sanitária) da empresa licitante, expedido pela Vigilância Sanitária Estadual ou Municipal</w:t>
      </w:r>
      <w:r>
        <w:rPr>
          <w:rFonts w:hint="default"/>
          <w:i w:val="0"/>
          <w:iCs w:val="0"/>
          <w:color w:val="auto"/>
          <w:sz w:val="24"/>
          <w:szCs w:val="24"/>
          <w:highlight w:val="none"/>
          <w:lang w:val="en-US" w:eastAsia="pt-BR"/>
        </w:rPr>
        <w:t>.</w:t>
      </w:r>
      <w:r>
        <w:rPr>
          <w:rFonts w:hint="default"/>
          <w:i w:val="0"/>
          <w:iCs w:val="0"/>
          <w:color w:val="auto"/>
          <w:sz w:val="24"/>
          <w:szCs w:val="24"/>
          <w:highlight w:val="none"/>
          <w:lang w:val="pt-BR" w:eastAsia="pt-BR"/>
        </w:rPr>
        <w:t xml:space="preserve"> </w:t>
      </w:r>
    </w:p>
    <w:p>
      <w:pPr>
        <w:pStyle w:val="104"/>
        <w:spacing w:afterLines="120" w:line="312" w:lineRule="auto"/>
        <w:ind w:left="170" w:firstLine="709"/>
        <w:rPr>
          <w:rFonts w:hint="default"/>
          <w:i w:val="0"/>
          <w:iCs w:val="0"/>
          <w:color w:val="auto"/>
          <w:sz w:val="24"/>
          <w:szCs w:val="24"/>
          <w:highlight w:val="none"/>
          <w:lang w:val="pt-BR"/>
        </w:rPr>
      </w:pPr>
      <w:r>
        <w:rPr>
          <w:rFonts w:hint="default"/>
          <w:i w:val="0"/>
          <w:iCs w:val="0"/>
          <w:color w:val="auto"/>
          <w:sz w:val="24"/>
          <w:szCs w:val="24"/>
          <w:highlight w:val="none"/>
          <w:lang w:val="en-US" w:eastAsia="pt-BR"/>
        </w:rPr>
        <w:t>A</w:t>
      </w:r>
      <w:r>
        <w:rPr>
          <w:rFonts w:hint="default"/>
          <w:i w:val="0"/>
          <w:iCs w:val="0"/>
          <w:color w:val="auto"/>
          <w:sz w:val="24"/>
          <w:szCs w:val="24"/>
          <w:highlight w:val="none"/>
          <w:lang w:val="pt-BR" w:eastAsia="zh-CN"/>
        </w:rPr>
        <w:t>utorização de Funcionamento (AFE): ato de competência da Agência Nacional de Vigilância Sanitária, contendo autorização para o funcionamento de empresas ou estabelecimentos, instituições e órgãos, concedido mediante o cumprimento dos requisitos técnicos e administrativos constantes desta Resolução.</w:t>
      </w:r>
    </w:p>
    <w:p>
      <w:pPr>
        <w:pStyle w:val="104"/>
        <w:spacing w:afterLines="120" w:line="312" w:lineRule="auto"/>
        <w:ind w:left="170" w:firstLine="709"/>
        <w:rPr>
          <w:sz w:val="24"/>
          <w:szCs w:val="24"/>
          <w:highlight w:val="none"/>
        </w:rPr>
      </w:pPr>
      <w:r>
        <w:rPr>
          <w:rFonts w:hint="default"/>
          <w:i w:val="0"/>
          <w:iCs w:val="0"/>
          <w:color w:val="auto"/>
          <w:sz w:val="24"/>
          <w:szCs w:val="24"/>
          <w:highlight w:val="none"/>
          <w:lang w:val="pt-BR" w:eastAsia="zh-CN"/>
        </w:rPr>
        <w:t xml:space="preserve">Certificado de Responsabilidade Técnica Farmacêutica, emitido pelo seu respectivo Conselho Regional, com prazo de validade em vigor, na data do certame, conforme exigência da LEI </w:t>
      </w:r>
      <w:r>
        <w:rPr>
          <w:i w:val="0"/>
          <w:iCs w:val="0"/>
          <w:color w:val="auto"/>
          <w:sz w:val="24"/>
          <w:szCs w:val="24"/>
          <w:highlight w:val="none"/>
          <w:lang w:val="pt-BR"/>
        </w:rPr>
        <w:t>nº 3.820/60 (art. 24)</w:t>
      </w:r>
      <w:r>
        <w:rPr>
          <w:rFonts w:hint="default"/>
          <w:i w:val="0"/>
          <w:iCs w:val="0"/>
          <w:color w:val="auto"/>
          <w:sz w:val="24"/>
          <w:szCs w:val="24"/>
          <w:highlight w:val="none"/>
          <w:lang w:val="pt-BR"/>
        </w:rPr>
        <w:t>.</w:t>
      </w:r>
    </w:p>
    <w:permEnd w:id="15"/>
    <w:p>
      <w:pPr>
        <w:pStyle w:val="39"/>
        <w:spacing w:before="120" w:afterLines="120" w:line="312" w:lineRule="auto"/>
        <w:rPr>
          <w:sz w:val="24"/>
          <w:szCs w:val="24"/>
          <w:highlight w:val="none"/>
        </w:rPr>
      </w:pPr>
      <w:r>
        <w:rPr>
          <w:sz w:val="24"/>
          <w:szCs w:val="24"/>
          <w:highlight w:val="none"/>
        </w:rPr>
        <w:t>ESTIMATIVAS DO VALOR DA CONTRATAÇÃO</w:t>
      </w:r>
    </w:p>
    <w:p>
      <w:pPr>
        <w:pStyle w:val="103"/>
        <w:spacing w:afterLines="120" w:line="312" w:lineRule="auto"/>
        <w:ind w:firstLine="709"/>
        <w:rPr>
          <w:b/>
          <w:bCs/>
          <w:i w:val="0"/>
          <w:iCs w:val="0"/>
          <w:color w:val="auto"/>
          <w:sz w:val="24"/>
          <w:szCs w:val="24"/>
          <w:highlight w:val="none"/>
        </w:rPr>
      </w:pPr>
      <w:permStart w:id="16" w:edGrp="everyone"/>
      <w:r>
        <w:rPr>
          <w:i w:val="0"/>
          <w:iCs w:val="0"/>
          <w:color w:val="auto"/>
          <w:sz w:val="24"/>
          <w:szCs w:val="24"/>
          <w:highlight w:val="none"/>
        </w:rPr>
        <w:t>O custo estimado total da contratação é conforme custos unitários apostos</w:t>
      </w:r>
      <w:r>
        <w:rPr>
          <w:rFonts w:hint="default"/>
          <w:i w:val="0"/>
          <w:iCs w:val="0"/>
          <w:color w:val="auto"/>
          <w:sz w:val="24"/>
          <w:szCs w:val="24"/>
          <w:highlight w:val="none"/>
          <w:lang w:val="pt-BR"/>
        </w:rPr>
        <w:t xml:space="preserve"> </w:t>
      </w:r>
      <w:r>
        <w:rPr>
          <w:i w:val="0"/>
          <w:iCs w:val="0"/>
          <w:color w:val="auto"/>
          <w:sz w:val="24"/>
          <w:szCs w:val="24"/>
          <w:highlight w:val="none"/>
        </w:rPr>
        <w:t>em anexo.</w:t>
      </w:r>
    </w:p>
    <w:permEnd w:id="16"/>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firstLine="709"/>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bookmarkEnd w:id="0"/>
    <w:p>
      <w:pPr>
        <w:pStyle w:val="56"/>
        <w:numPr>
          <w:ilvl w:val="0"/>
          <w:numId w:val="0"/>
        </w:numPr>
        <w:spacing w:afterLines="120" w:line="312" w:lineRule="auto"/>
        <w:rPr>
          <w:rFonts w:hint="default"/>
          <w:color w:val="auto"/>
          <w:sz w:val="24"/>
          <w:szCs w:val="24"/>
          <w:highlight w:val="none"/>
          <w:lang w:val="pt-BR"/>
        </w:rPr>
      </w:pPr>
      <w:permStart w:id="17" w:edGrp="everyone"/>
      <w:r>
        <w:rPr>
          <w:rFonts w:hint="default"/>
          <w:color w:val="auto"/>
          <w:sz w:val="24"/>
          <w:szCs w:val="24"/>
          <w:highlight w:val="none"/>
          <w:lang w:val="pt-BR"/>
        </w:rPr>
        <w:t>Arcos/MG, 07 de Fevereiro 2024</w:t>
      </w:r>
    </w:p>
    <w:p>
      <w:pPr>
        <w:pStyle w:val="56"/>
        <w:numPr>
          <w:ilvl w:val="0"/>
          <w:numId w:val="0"/>
        </w:numPr>
        <w:spacing w:afterLines="120" w:line="312" w:lineRule="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ascii="Arial" w:hAnsi="Arial" w:eastAsia="Arial" w:cs="Arial"/>
          <w:highlight w:val="none"/>
        </w:rPr>
      </w:pPr>
      <w:r>
        <w:rPr>
          <w:rFonts w:ascii="Arial" w:hAnsi="Arial" w:eastAsia="Arial" w:cs="Arial"/>
          <w:highlight w:val="none"/>
        </w:rPr>
        <w:t>__________________________________</w:t>
      </w:r>
    </w:p>
    <w:p>
      <w:pPr>
        <w:keepNext w:val="0"/>
        <w:keepLines w:val="0"/>
        <w:pageBreakBefore w:val="0"/>
        <w:widowControl/>
        <w:kinsoku/>
        <w:wordWrap/>
        <w:overflowPunct/>
        <w:topLinePunct w:val="0"/>
        <w:autoSpaceDE/>
        <w:autoSpaceDN/>
        <w:bidi w:val="0"/>
        <w:adjustRightInd/>
        <w:snapToGrid/>
        <w:spacing w:line="240" w:lineRule="auto"/>
        <w:ind w:left="360"/>
        <w:jc w:val="center"/>
        <w:textAlignment w:val="auto"/>
        <w:rPr>
          <w:rFonts w:hint="default" w:ascii="Arial" w:hAnsi="Arial" w:cs="Arial"/>
          <w:b/>
          <w:bCs/>
          <w:highlight w:val="none"/>
          <w:lang w:val="pt-BR"/>
        </w:rPr>
      </w:pPr>
      <w:r>
        <w:rPr>
          <w:rFonts w:hint="default" w:ascii="Arial" w:hAnsi="Arial" w:cs="Arial"/>
          <w:b/>
          <w:bCs/>
          <w:highlight w:val="none"/>
          <w:lang w:val="pt-BR"/>
        </w:rPr>
        <w:t>Tiago Cravalho de Oliveira</w:t>
      </w:r>
    </w:p>
    <w:p>
      <w:pPr>
        <w:keepNext w:val="0"/>
        <w:keepLines w:val="0"/>
        <w:pageBreakBefore w:val="0"/>
        <w:widowControl/>
        <w:kinsoku/>
        <w:wordWrap/>
        <w:overflowPunct/>
        <w:topLinePunct w:val="0"/>
        <w:autoSpaceDE/>
        <w:autoSpaceDN/>
        <w:bidi w:val="0"/>
        <w:adjustRightInd/>
        <w:snapToGrid/>
        <w:spacing w:line="240" w:lineRule="auto"/>
        <w:ind w:left="360"/>
        <w:jc w:val="center"/>
        <w:textAlignment w:val="auto"/>
        <w:rPr>
          <w:rFonts w:hint="default" w:ascii="Arial" w:hAnsi="Arial" w:cs="Arial"/>
          <w:b w:val="0"/>
          <w:bCs w:val="0"/>
          <w:highlight w:val="none"/>
          <w:lang w:val="pt-BR"/>
        </w:rPr>
      </w:pPr>
      <w:r>
        <w:rPr>
          <w:rFonts w:hint="default" w:ascii="Arial" w:hAnsi="Arial" w:cs="Arial"/>
          <w:b w:val="0"/>
          <w:bCs w:val="0"/>
          <w:highlight w:val="none"/>
          <w:lang w:val="pt-BR"/>
        </w:rPr>
        <w:t>Secretario Municipal de Saúde</w:t>
      </w:r>
    </w:p>
    <w:permEnd w:id="17"/>
    <w:p>
      <w:pPr>
        <w:spacing w:before="120" w:afterLines="120" w:line="312" w:lineRule="auto"/>
        <w:ind w:left="360"/>
        <w:jc w:val="center"/>
        <w:rPr>
          <w:rFonts w:ascii="Arial" w:hAnsi="Arial" w:cs="Arial"/>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1">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A47D65"/>
    <w:rsid w:val="05B482E3"/>
    <w:rsid w:val="060EA3DB"/>
    <w:rsid w:val="063653B2"/>
    <w:rsid w:val="072348D8"/>
    <w:rsid w:val="07AA743C"/>
    <w:rsid w:val="0825C528"/>
    <w:rsid w:val="0AB4EB49"/>
    <w:rsid w:val="0C72485D"/>
    <w:rsid w:val="0C9E538D"/>
    <w:rsid w:val="0CD8499C"/>
    <w:rsid w:val="0DA1B3F3"/>
    <w:rsid w:val="0DB0AC54"/>
    <w:rsid w:val="0F79B9D7"/>
    <w:rsid w:val="10E0D201"/>
    <w:rsid w:val="11041DAD"/>
    <w:rsid w:val="114D992C"/>
    <w:rsid w:val="15D606D7"/>
    <w:rsid w:val="15FB6522"/>
    <w:rsid w:val="165C66F7"/>
    <w:rsid w:val="16649FEF"/>
    <w:rsid w:val="187314D3"/>
    <w:rsid w:val="193305E4"/>
    <w:rsid w:val="1A0CC7BE"/>
    <w:rsid w:val="1AB5ADE8"/>
    <w:rsid w:val="1AECDB15"/>
    <w:rsid w:val="1C2D59A6"/>
    <w:rsid w:val="1C3EC466"/>
    <w:rsid w:val="1C8CA1DF"/>
    <w:rsid w:val="1D38DAFD"/>
    <w:rsid w:val="1F6406C2"/>
    <w:rsid w:val="21D19061"/>
    <w:rsid w:val="21D941C3"/>
    <w:rsid w:val="21E662A0"/>
    <w:rsid w:val="225CA34E"/>
    <w:rsid w:val="23272055"/>
    <w:rsid w:val="242F06C7"/>
    <w:rsid w:val="24DF3391"/>
    <w:rsid w:val="258A4CD0"/>
    <w:rsid w:val="2657C157"/>
    <w:rsid w:val="26789B7A"/>
    <w:rsid w:val="27D707DD"/>
    <w:rsid w:val="29F468E2"/>
    <w:rsid w:val="2A115A7D"/>
    <w:rsid w:val="2B4D64D2"/>
    <w:rsid w:val="2B7872A7"/>
    <w:rsid w:val="2E29257B"/>
    <w:rsid w:val="2E715A7F"/>
    <w:rsid w:val="2F33A853"/>
    <w:rsid w:val="3003D639"/>
    <w:rsid w:val="3022A7F5"/>
    <w:rsid w:val="30CF78B4"/>
    <w:rsid w:val="34A1E81C"/>
    <w:rsid w:val="35C12ECB"/>
    <w:rsid w:val="36EC78EE"/>
    <w:rsid w:val="36F4710C"/>
    <w:rsid w:val="390C2635"/>
    <w:rsid w:val="3920A23A"/>
    <w:rsid w:val="3AE9E302"/>
    <w:rsid w:val="3B9683F7"/>
    <w:rsid w:val="3BCB3C2E"/>
    <w:rsid w:val="3CAB666A"/>
    <w:rsid w:val="3DA10132"/>
    <w:rsid w:val="3E4612A9"/>
    <w:rsid w:val="3F08349E"/>
    <w:rsid w:val="40993BDC"/>
    <w:rsid w:val="411272C2"/>
    <w:rsid w:val="4284D176"/>
    <w:rsid w:val="42E0FEE6"/>
    <w:rsid w:val="446868FA"/>
    <w:rsid w:val="449EE389"/>
    <w:rsid w:val="44A8FB23"/>
    <w:rsid w:val="4638CD78"/>
    <w:rsid w:val="46CD7E5C"/>
    <w:rsid w:val="471E9E97"/>
    <w:rsid w:val="484339E3"/>
    <w:rsid w:val="48703D10"/>
    <w:rsid w:val="48C08A7A"/>
    <w:rsid w:val="48E14DB3"/>
    <w:rsid w:val="4AD3BACB"/>
    <w:rsid w:val="4B428375"/>
    <w:rsid w:val="4B8F2946"/>
    <w:rsid w:val="4BDC6E1A"/>
    <w:rsid w:val="4D338AB3"/>
    <w:rsid w:val="4E973839"/>
    <w:rsid w:val="512C7C40"/>
    <w:rsid w:val="515AB37A"/>
    <w:rsid w:val="5189942C"/>
    <w:rsid w:val="52F683DB"/>
    <w:rsid w:val="532B3C12"/>
    <w:rsid w:val="55FA4715"/>
    <w:rsid w:val="5658C53A"/>
    <w:rsid w:val="569C1CFF"/>
    <w:rsid w:val="583BAD14"/>
    <w:rsid w:val="58ED34F0"/>
    <w:rsid w:val="5B58F1E4"/>
    <w:rsid w:val="5CBC736A"/>
    <w:rsid w:val="5CD15AEC"/>
    <w:rsid w:val="5E1E1829"/>
    <w:rsid w:val="5EE1B42A"/>
    <w:rsid w:val="607D848B"/>
    <w:rsid w:val="61981D74"/>
    <w:rsid w:val="61D6BAE2"/>
    <w:rsid w:val="62C06644"/>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1817E99"/>
    <w:rsid w:val="724B2FE2"/>
    <w:rsid w:val="749958C6"/>
    <w:rsid w:val="74F482F7"/>
    <w:rsid w:val="759EF8DD"/>
    <w:rsid w:val="75AED98F"/>
    <w:rsid w:val="75FCB035"/>
    <w:rsid w:val="77392A14"/>
    <w:rsid w:val="77467F07"/>
    <w:rsid w:val="77E0AB9D"/>
    <w:rsid w:val="788D7F63"/>
    <w:rsid w:val="78F9E42E"/>
    <w:rsid w:val="79546C12"/>
    <w:rsid w:val="7A70CAD6"/>
    <w:rsid w:val="7AE26015"/>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710721B5-2FFD-4B32-891F-8DD51FBA0B54}">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0CBD3A4D-46FC-4C9D-A646-0B0B22B0418A}">
  <ds:schemaRefs/>
</ds:datastoreItem>
</file>

<file path=customXml/itemProps6.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1</TotalTime>
  <ScaleCrop>false</ScaleCrop>
  <LinksUpToDate>false</LinksUpToDate>
  <CharactersWithSpaces>29998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rpinheiro</cp:lastModifiedBy>
  <cp:lastPrinted>2024-02-09T18:35:00Z</cp:lastPrinted>
  <dcterms:modified xsi:type="dcterms:W3CDTF">2024-03-12T21:19:36Z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61D162B09B6A40BBA31878BBB4F08D6E_13</vt:lpwstr>
  </property>
</Properties>
</file>