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hint="default" w:ascii="Arial" w:hAnsi="Arial" w:eastAsia="Times New Roman" w:cs="Arial"/>
          <w:b/>
          <w:iCs/>
          <w:lang w:val="pt-BR"/>
        </w:rPr>
      </w:pPr>
      <w:r>
        <w:rPr>
          <w:rFonts w:hint="default" w:ascii="Arial" w:hAnsi="Arial" w:eastAsia="Times New Roman" w:cs="Arial"/>
          <w:b/>
          <w:iCs/>
          <w:lang w:val="pt-BR"/>
        </w:rPr>
        <w:t>N° 051.2023</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pStyle w:val="56"/>
        <w:spacing w:after="288" w:afterLines="120" w:line="312" w:lineRule="auto"/>
        <w:ind w:firstLine="709"/>
        <w:rPr>
          <w:b/>
          <w:bCs/>
          <w:sz w:val="24"/>
          <w:szCs w:val="24"/>
        </w:rPr>
      </w:pPr>
      <w:r>
        <w:rPr>
          <w:sz w:val="24"/>
          <w:szCs w:val="24"/>
          <w:highlight w:val="none"/>
        </w:rPr>
        <w:t xml:space="preserve">Contratação da prestação de serviços de </w:t>
      </w:r>
      <w:r>
        <w:rPr>
          <w:rFonts w:hint="default"/>
          <w:sz w:val="24"/>
          <w:szCs w:val="24"/>
          <w:highlight w:val="none"/>
          <w:lang w:val="pt-BR"/>
        </w:rPr>
        <w:t>locação de Software de pesagem de caminhões para ser utilizado no aterro sanitário,</w:t>
      </w:r>
      <w:r>
        <w:rPr>
          <w:sz w:val="24"/>
          <w:szCs w:val="24"/>
        </w:rPr>
        <w:t xml:space="preserve"> nos termos da tabela abaixo, conforme condições e exigências estabelecidas neste instrumento.</w:t>
      </w:r>
    </w:p>
    <w:tbl>
      <w:tblPr>
        <w:tblStyle w:val="8"/>
        <w:tblW w:w="9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359"/>
        <w:gridCol w:w="1482"/>
        <w:gridCol w:w="1200"/>
        <w:gridCol w:w="1462"/>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ITEM</w:t>
            </w:r>
          </w:p>
          <w:p>
            <w:pPr>
              <w:widowControl w:val="0"/>
              <w:suppressAutoHyphens/>
              <w:spacing w:before="120" w:after="288" w:afterLines="120" w:line="312" w:lineRule="auto"/>
              <w:jc w:val="center"/>
              <w:rPr>
                <w:rFonts w:ascii="Arial" w:hAnsi="Arial" w:eastAsia="Arial" w:cs="Arial"/>
                <w:b/>
                <w:bCs/>
                <w:color w:val="000000"/>
              </w:rPr>
            </w:pPr>
          </w:p>
        </w:tc>
        <w:tc>
          <w:tcPr>
            <w:tcW w:w="33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ESPECIFICAÇÃO</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UNIDADE DE MEDIDA</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QUANT.</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UNITÁRIO</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1</w:t>
            </w:r>
          </w:p>
        </w:tc>
        <w:tc>
          <w:tcPr>
            <w:tcW w:w="33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before="120" w:after="181" w:afterLines="50" w:line="312" w:lineRule="auto"/>
              <w:jc w:val="both"/>
              <w:textAlignment w:val="auto"/>
              <w:rPr>
                <w:rFonts w:hint="default" w:ascii="Arial" w:hAnsi="Arial" w:eastAsia="Arial" w:cs="Arial"/>
                <w:color w:val="000000"/>
                <w:lang w:val="pt-BR"/>
              </w:rPr>
            </w:pPr>
            <w:r>
              <w:rPr>
                <w:rFonts w:hint="default" w:ascii="Arial" w:hAnsi="Arial" w:eastAsia="Arial" w:cs="Arial"/>
                <w:color w:val="000000"/>
                <w:lang w:val="pt-BR"/>
              </w:rPr>
              <w:t>Locação de Software de pasagem de caminhões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b/>
                <w:bCs/>
                <w:color w:val="000000" w:themeColor="text1"/>
                <w:sz w:val="24"/>
                <w:szCs w:val="24"/>
                <w:lang w:val="pt-BR"/>
                <w14:textFill>
                  <w14:solidFill>
                    <w14:schemeClr w14:val="tx1"/>
                  </w14:solidFill>
                </w14:textFill>
              </w:rPr>
            </w:pPr>
            <w:r>
              <w:rPr>
                <w:rFonts w:hint="default" w:ascii="Arial" w:hAnsi="Arial" w:eastAsia="Open Sans" w:cs="Arial"/>
                <w:b/>
                <w:bCs/>
                <w:color w:val="000000" w:themeColor="text1"/>
                <w:sz w:val="24"/>
                <w:szCs w:val="24"/>
                <w:u w:val="single"/>
                <w:lang w:val="pt-BR"/>
                <w14:textFill>
                  <w14:solidFill>
                    <w14:schemeClr w14:val="tx1"/>
                  </w14:solidFill>
                </w14:textFill>
              </w:rPr>
              <w:t>O Software deverá atender as seguintes condições mínimas: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O fornecedor deverá treinar os funcionários indicados pela requisitante, de forma presencial e/ou online a utilização do sistema;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xml:space="preserve">- O software deverá registrar, arquivar e fazer a impressão de tickets da pesagem dos veículos diversos que utilizarem o Aterro, durante todo o horário de funcionamento; </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A Contratada deverá fornecer suporte telefônico e digital, para fins de atendimento quanto a: sanar dúvidas e soluções de problemas que por ventura vierem a ocorrer, tanto para os funcionários do Aterro, quanto a demais funcionários da Secretaria requisitante;</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Caso sejam necessárias novas visitas técnicas ao Aterro, as despesas de hospedagem, transporte, alimentação e as horas de trabalho do técnico correrão por conta da empresa Contratada;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O sistema será instalado em Computador lotado na portaria do Aterro Sanitário;</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O treinamento deverá ser presencial e online e a duração do mesmo, dependerá da metodologia aplicada aliada ao tempo necessário pelo funcionário que irá operar o Sistema;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O sistema deverá permitir, as alternativas mínimas para: consulta, impressão: exibição em tela e impressão em papel;</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Ser executados em ambiente multiusuário, em arquitetura cliente-servidor;</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Possuir interface gráfica;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Possuir opção que permita o gerenciamento do sistema, no servidor de aplicações contendo, no mínimo:</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240" w:after="361" w:afterLines="100"/>
              <w:ind w:left="440" w:leftChars="0" w:firstLine="0" w:firstLineChars="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Registro completo de cada acesso de cada usuário identificando suas ações;</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240" w:after="361" w:afterLines="100"/>
              <w:ind w:left="440" w:leftChars="0" w:firstLine="0" w:firstLineChars="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Controle de direitos ou permissões dos usuários ao nível de comandos disponível na interface;</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240" w:after="361" w:afterLines="100"/>
              <w:ind w:left="440" w:leftChars="0" w:firstLine="0" w:firstLineChars="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Possibilidade de habilitar e desabilitar qualquer permissão de usuário;</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Possuir tela de consultas ou pesquisas através de comandos SQL interativas;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Conter nos relatórios a possibilidade de personalização de layout e impressão de logotipos;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Possibilitar a geração dos relatórios em impressoras laser, matricial e jato de tinta. arquivo para transporte ou publicação em tela;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Possuir histórico (log.) de todas as operações efetuadas por usuário (inclusões. alterações e exclusões) permitindo sua consulta e impressão para auditoria;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Permitir quantidade ilimitada de usuários simultâneos com total integridade dos dados;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Possibilitar instalação e provimento do serviço a partir da estrutura da própria prefeitura;</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Funcionar integrado em tempo real, sem a necessidade de transferências d arquivos e/ou sincronizações;</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Possuir manual on-line;</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 Além disso, a empresa a ser contratada deverá fornecer solução para atualização automática dos sistemas através da rede mundial de computador e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pPr>
              <w:keepNext w:val="0"/>
              <w:keepLines w:val="0"/>
              <w:pageBreakBefore w:val="0"/>
              <w:widowControl/>
              <w:suppressLineNumbers w:val="0"/>
              <w:kinsoku/>
              <w:wordWrap/>
              <w:overflowPunct/>
              <w:topLinePunct w:val="0"/>
              <w:autoSpaceDE/>
              <w:autoSpaceDN/>
              <w:bidi w:val="0"/>
              <w:adjustRightInd/>
              <w:snapToGrid/>
              <w:spacing w:before="240" w:after="361" w:afterLines="100"/>
              <w:jc w:val="both"/>
              <w:textAlignment w:val="auto"/>
              <w:rPr>
                <w:rFonts w:hint="default" w:ascii="Arial" w:hAnsi="Arial" w:eastAsia="Arial" w:cs="Arial"/>
                <w:color w:val="000000"/>
                <w:lang w:val="pt-BR"/>
              </w:rPr>
            </w:pPr>
            <w:r>
              <w:rPr>
                <w:rFonts w:hint="default" w:ascii="Arial" w:hAnsi="Arial" w:eastAsia="Open Sans" w:cs="Arial"/>
                <w:color w:val="000000" w:themeColor="text1"/>
                <w:sz w:val="24"/>
                <w:szCs w:val="24"/>
                <w:lang w:val="pt-BR"/>
                <w14:textFill>
                  <w14:solidFill>
                    <w14:schemeClr w14:val="tx1"/>
                  </w14:solidFill>
                </w14:textFill>
              </w:rPr>
              <w:t>- Permitir impressão dos relatórios e tickets em impressoras tipo laser;</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Ser/mês</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12</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bl>
    <w:p>
      <w:pPr>
        <w:pStyle w:val="56"/>
        <w:numPr>
          <w:ilvl w:val="0"/>
          <w:numId w:val="0"/>
        </w:numPr>
        <w:spacing w:after="288" w:afterLines="120" w:line="312" w:lineRule="auto"/>
        <w:rPr>
          <w:sz w:val="24"/>
          <w:szCs w:val="24"/>
        </w:rPr>
      </w:pPr>
    </w:p>
    <w:p>
      <w:pPr>
        <w:pStyle w:val="56"/>
        <w:spacing w:after="288" w:afterLines="120" w:line="312" w:lineRule="auto"/>
        <w:ind w:firstLine="709"/>
        <w:rPr>
          <w:sz w:val="24"/>
          <w:szCs w:val="24"/>
          <w:highlight w:val="yellow"/>
        </w:rPr>
      </w:pPr>
      <w:r>
        <w:rPr>
          <w:sz w:val="24"/>
          <w:szCs w:val="24"/>
          <w:highlight w:val="yellow"/>
        </w:rPr>
        <w:t xml:space="preserve">O objeto desta contratação não se enquadra como sendo de bem de luxo, conforme Decreto Municipal nº </w:t>
      </w:r>
      <w:r>
        <w:rPr>
          <w:rFonts w:hint="default"/>
          <w:sz w:val="24"/>
          <w:szCs w:val="24"/>
          <w:highlight w:val="yellow"/>
          <w:lang w:val="pt-BR"/>
        </w:rPr>
        <w:t>6535</w:t>
      </w:r>
      <w:r>
        <w:rPr>
          <w:sz w:val="24"/>
          <w:szCs w:val="24"/>
          <w:highlight w:val="yellow"/>
        </w:rPr>
        <w:t>/2023.</w:t>
      </w:r>
    </w:p>
    <w:p>
      <w:pPr>
        <w:pStyle w:val="56"/>
        <w:spacing w:after="288" w:afterLines="120" w:line="312" w:lineRule="auto"/>
        <w:ind w:firstLine="709"/>
        <w:rPr>
          <w:sz w:val="24"/>
          <w:szCs w:val="24"/>
        </w:rPr>
      </w:pPr>
      <w:r>
        <w:rPr>
          <w:sz w:val="24"/>
          <w:szCs w:val="24"/>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 meses</w:t>
      </w:r>
      <w:r>
        <w:rPr>
          <w:i w:val="0"/>
          <w:iCs w:val="0"/>
          <w:color w:val="auto"/>
          <w:sz w:val="24"/>
          <w:szCs w:val="24"/>
          <w:highlight w:val="yellow"/>
        </w:rPr>
        <w:t xml:space="preserve"> contados do(a) </w:t>
      </w:r>
      <w:r>
        <w:rPr>
          <w:rFonts w:hint="default"/>
          <w:i w:val="0"/>
          <w:iCs w:val="0"/>
          <w:color w:val="auto"/>
          <w:sz w:val="24"/>
          <w:szCs w:val="24"/>
          <w:highlight w:val="yellow"/>
          <w:lang w:val="pt-BR"/>
        </w:rPr>
        <w:t>assinatura do contrato</w:t>
      </w:r>
      <w:r>
        <w:rPr>
          <w:i w:val="0"/>
          <w:iCs w:val="0"/>
          <w:color w:val="auto"/>
          <w:sz w:val="24"/>
          <w:szCs w:val="24"/>
          <w:highlight w:val="yellow"/>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288" w:afterLines="120" w:line="312" w:lineRule="auto"/>
        <w:ind w:firstLine="709"/>
        <w:rPr>
          <w:sz w:val="24"/>
          <w:szCs w:val="24"/>
        </w:rPr>
      </w:pPr>
      <w:r>
        <w:rPr>
          <w:sz w:val="24"/>
          <w:szCs w:val="24"/>
          <w:highlight w:val="yellow"/>
        </w:rPr>
        <w:t xml:space="preserve">O objeto da contratação está previsto no Plano de Contratações Anual  de </w:t>
      </w:r>
      <w:r>
        <w:rPr>
          <w:rFonts w:hint="default"/>
          <w:sz w:val="24"/>
          <w:szCs w:val="24"/>
          <w:highlight w:val="yellow"/>
          <w:lang w:val="pt-BR"/>
        </w:rPr>
        <w:t>2023</w:t>
      </w:r>
      <w:r>
        <w:rPr>
          <w:color w:val="auto"/>
          <w:sz w:val="24"/>
          <w:szCs w:val="24"/>
          <w:highlight w:val="yellow"/>
        </w:rPr>
        <w:t>.</w:t>
      </w:r>
      <w:r>
        <w:rPr>
          <w:rFonts w:hint="default"/>
          <w:color w:val="auto"/>
          <w:sz w:val="24"/>
          <w:szCs w:val="24"/>
          <w:highlight w:val="yellow"/>
          <w:lang w:val="pt-BR"/>
        </w:rPr>
        <w:t xml:space="preserve"> Os itens a serem adquiridos enquadra-se em equipamentos de pocessamento de dados.</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highlight w:val="none"/>
        </w:rPr>
      </w:pPr>
      <w:r>
        <w:rPr>
          <w:sz w:val="24"/>
          <w:szCs w:val="24"/>
          <w:highlight w:val="none"/>
        </w:rPr>
        <w:t>REQUISITOS DA CONTRATAÇÃO</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pStyle w:val="39"/>
        <w:spacing w:before="120" w:after="288" w:afterLines="120" w:line="312" w:lineRule="auto"/>
        <w:rPr>
          <w:sz w:val="24"/>
          <w:szCs w:val="24"/>
          <w:highlight w:val="none"/>
        </w:rPr>
      </w:pPr>
      <w:r>
        <w:rPr>
          <w:sz w:val="24"/>
          <w:szCs w:val="24"/>
          <w:highlight w:val="none"/>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serviços</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O prazo de execução do serviço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 </w:t>
      </w:r>
      <w:r>
        <w:rPr>
          <w:rFonts w:hint="default"/>
          <w:i w:val="0"/>
          <w:iCs w:val="0"/>
          <w:color w:val="auto"/>
          <w:sz w:val="24"/>
          <w:szCs w:val="24"/>
          <w:highlight w:val="none"/>
          <w:lang w:val="pt-BR"/>
        </w:rPr>
        <w:t>assinatura do contrato.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A implantação do software será no Aterro Sanitário, localizado à Zona Rural de Arcos, estrada Arcos/Prata, cerca de 5,8 km de distância do centro urbano deste município.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locação do Software ocorrerá no Aterro Sanitário, para fins de pesagem de resíduos recebidos, onde será operado pelo funcionário da Guarita e/ou Portaria.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 A locação do Software deverá ficar disponível para uso dos funcionários, independente do horário de funcionamento do Aterro Sanitário.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 No caso de "problemas" no Software a Contratada deverá sanar a situação imediatamente, para que não ocorra perdas no sistema. Em caso de ocorrências adversas, o custo será por conta da Contratada.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Software deverá atender a demanda descrita no referido objeto, informado na ordem de execução de serviço.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3.10 Todos os custos necessários a locação do software deverá estar incluída na proposta, bem como a mão de obra especializada é de responsabilidade exclusiva da contratada.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 No que diz respeito a Conversão de Bases de Dados:</w:t>
      </w:r>
    </w:p>
    <w:p>
      <w:pPr>
        <w:pStyle w:val="58"/>
        <w:bidi w:val="0"/>
        <w:ind w:left="420" w:leftChars="0"/>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 xml:space="preserve"> Os dados que compõem as bases de informações do exercício atual deverão ser convertidos para a nova estrutura de dados proposta pelo licitante que for vencedor do certame.</w:t>
      </w:r>
    </w:p>
    <w:p>
      <w:pPr>
        <w:pStyle w:val="58"/>
        <w:bidi w:val="0"/>
        <w:ind w:left="420" w:leftChars="0"/>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A Prefeitura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pPr>
        <w:pStyle w:val="58"/>
        <w:bidi w:val="0"/>
        <w:ind w:left="420" w:leftChars="0"/>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 xml:space="preserve">O sistema deverá integrar os módulos, proporcionando aos profissionais responsáveis administrar os serviços oferecidos pela Prefeitura de maneira centralizada, além de agilizar e melhorar todo o processo. </w:t>
      </w:r>
    </w:p>
    <w:p>
      <w:pPr>
        <w:pStyle w:val="103"/>
        <w:spacing w:after="288" w:afterLines="120" w:line="312" w:lineRule="auto"/>
        <w:ind w:firstLine="709"/>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No que diz respeito a Implantação de Programas:</w:t>
      </w:r>
    </w:p>
    <w:p>
      <w:pPr>
        <w:pStyle w:val="58"/>
        <w:bidi w:val="0"/>
        <w:ind w:left="420" w:leftChars="0"/>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A implantação dos programas deverá ser no prazo máximo de 05 (cinco) dias, já com as bases contendo os dados convertidos e os sistemas de processamento adaptados à legislação ambiental vigente.</w:t>
      </w:r>
    </w:p>
    <w:p>
      <w:pPr>
        <w:pStyle w:val="103"/>
        <w:spacing w:after="288" w:afterLines="120" w:line="312" w:lineRule="auto"/>
        <w:ind w:firstLine="709"/>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No que diz respeito a Treinamento de Pessoal:</w:t>
      </w:r>
    </w:p>
    <w:p>
      <w:pPr>
        <w:pStyle w:val="58"/>
        <w:bidi w:val="0"/>
        <w:ind w:left="420" w:leftChars="0"/>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Simultaneamente à implantação do programa, deverá ser feito o treinamento dos servidores, demonstrando a funcionalidade do programa, seus recursos e limitações.</w:t>
      </w:r>
    </w:p>
    <w:p>
      <w:pPr>
        <w:pStyle w:val="103"/>
        <w:numPr>
          <w:ilvl w:val="0"/>
          <w:numId w:val="0"/>
        </w:numPr>
        <w:spacing w:after="288" w:afterLines="120" w:line="312" w:lineRule="auto"/>
        <w:ind w:left="709"/>
        <w:rPr>
          <w:sz w:val="24"/>
          <w:szCs w:val="24"/>
          <w:highlight w:val="none"/>
        </w:rPr>
      </w:pPr>
    </w:p>
    <w:p>
      <w:pPr>
        <w:pStyle w:val="39"/>
        <w:spacing w:before="120" w:after="288" w:afterLines="120" w:line="312" w:lineRule="auto"/>
        <w:rPr>
          <w:sz w:val="24"/>
          <w:szCs w:val="24"/>
          <w:highlight w:val="none"/>
        </w:rPr>
      </w:pPr>
      <w:r>
        <w:rPr>
          <w:sz w:val="24"/>
          <w:szCs w:val="24"/>
          <w:highlight w:val="none"/>
        </w:rPr>
        <w:t>MODELO DE GESTÃO DO CONTRATO</w:t>
      </w:r>
    </w:p>
    <w:p>
      <w:pPr>
        <w:pStyle w:val="56"/>
        <w:spacing w:after="288" w:afterLines="120" w:line="312" w:lineRule="auto"/>
        <w:ind w:firstLine="709"/>
        <w:rPr>
          <w:sz w:val="24"/>
          <w:szCs w:val="24"/>
        </w:rPr>
      </w:pPr>
      <w:r>
        <w:rPr>
          <w:rFonts w:eastAsia="Arial"/>
          <w:color w:val="auto"/>
          <w:sz w:val="24"/>
          <w:szCs w:val="24"/>
          <w:highlight w:val="none"/>
        </w:rPr>
        <w:t>O contrato deverá ser executado fielmente pelas partes, de acordo com as cláusulas avençadas e as normas da Lei nº 14.133, de 2021, e cada par</w:t>
      </w:r>
      <w:r>
        <w:rPr>
          <w:rFonts w:eastAsia="Arial"/>
          <w:color w:val="auto"/>
          <w:sz w:val="24"/>
          <w:szCs w:val="24"/>
        </w:rPr>
        <w:t>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o servidor </w:t>
      </w:r>
      <w:r>
        <w:rPr>
          <w:rFonts w:hint="default"/>
          <w:sz w:val="24"/>
          <w:szCs w:val="24"/>
          <w:lang w:val="pt-BR"/>
        </w:rPr>
        <w:t xml:space="preserve">Sr. Josiane Cristine Ferreira </w:t>
      </w:r>
      <w:r>
        <w:rPr>
          <w:sz w:val="24"/>
          <w:szCs w:val="24"/>
        </w:rPr>
        <w:t>para atuar como fiscal do contrato e o servidor</w:t>
      </w:r>
      <w:r>
        <w:rPr>
          <w:rFonts w:hint="default"/>
          <w:sz w:val="24"/>
          <w:szCs w:val="24"/>
          <w:lang w:val="pt-BR"/>
        </w:rPr>
        <w:t xml:space="preserve"> Sr. Alexandre Ferreira </w:t>
      </w:r>
      <w:r>
        <w:rPr>
          <w:sz w:val="24"/>
          <w:szCs w:val="24"/>
        </w:rPr>
        <w:t>para atuar como gestor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rFonts w:hint="default"/>
          <w:color w:val="auto"/>
          <w:sz w:val="24"/>
          <w:szCs w:val="24"/>
          <w:lang w:val="pt-BR" w:eastAsia="en-US"/>
        </w:rPr>
      </w:pPr>
      <w:r>
        <w:rPr>
          <w:color w:val="auto"/>
          <w:sz w:val="24"/>
          <w:szCs w:val="24"/>
          <w:lang w:eastAsia="en-US"/>
        </w:rPr>
        <w:t xml:space="preserve">Recebimento do </w:t>
      </w:r>
      <w:r>
        <w:rPr>
          <w:rFonts w:hint="default"/>
          <w:color w:val="auto"/>
          <w:sz w:val="24"/>
          <w:szCs w:val="24"/>
          <w:lang w:val="pt-BR" w:eastAsia="en-US"/>
        </w:rPr>
        <w:t>Serviços</w:t>
      </w:r>
    </w:p>
    <w:p>
      <w:pPr>
        <w:pStyle w:val="56"/>
        <w:spacing w:after="288" w:afterLines="120" w:line="312" w:lineRule="auto"/>
        <w:ind w:firstLine="709"/>
        <w:rPr>
          <w:sz w:val="24"/>
          <w:szCs w:val="24"/>
          <w:lang w:eastAsia="en-US"/>
        </w:rPr>
      </w:pPr>
      <w:r>
        <w:rPr>
          <w:sz w:val="24"/>
          <w:szCs w:val="24"/>
          <w:lang w:eastAsia="en-US"/>
        </w:rPr>
        <w:t>Os</w:t>
      </w:r>
      <w:r>
        <w:rPr>
          <w:rFonts w:hint="default"/>
          <w:sz w:val="24"/>
          <w:szCs w:val="24"/>
          <w:lang w:val="pt-BR" w:eastAsia="en-US"/>
        </w:rPr>
        <w:t xml:space="preserve"> serviços</w:t>
      </w:r>
      <w:r>
        <w:rPr>
          <w:sz w:val="24"/>
          <w:szCs w:val="24"/>
          <w:lang w:eastAsia="en-US"/>
        </w:rPr>
        <w:t xml:space="preserve"> serão </w:t>
      </w:r>
      <w:r>
        <w:rPr>
          <w:rFonts w:hint="default"/>
          <w:sz w:val="24"/>
          <w:szCs w:val="24"/>
          <w:lang w:val="pt-BR" w:eastAsia="en-US"/>
        </w:rPr>
        <w:t>prestados mensalmente</w:t>
      </w:r>
      <w:r>
        <w:rPr>
          <w:sz w:val="24"/>
          <w:szCs w:val="24"/>
          <w:lang w:eastAsia="en-US"/>
        </w:rPr>
        <w:t>,</w:t>
      </w:r>
      <w:r>
        <w:rPr>
          <w:rFonts w:hint="default"/>
          <w:sz w:val="24"/>
          <w:szCs w:val="24"/>
          <w:lang w:val="pt-BR" w:eastAsia="en-US"/>
        </w:rPr>
        <w:t>sendo que a nota fical deverá ser entregue ao fiscal do contrato a cada final de mês juntante com o relatório do serviço prestado</w:t>
      </w:r>
      <w:r>
        <w:rPr>
          <w:sz w:val="24"/>
          <w:szCs w:val="24"/>
          <w:lang w:eastAsia="en-US"/>
        </w:rPr>
        <w:t>, para efeito de posterior verificação de sua conformidade com as especificações constantes no Termo de Referênciae na proposta.</w:t>
      </w:r>
    </w:p>
    <w:p>
      <w:pPr>
        <w:pStyle w:val="56"/>
        <w:spacing w:after="288"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 xml:space="preserve">serviços </w:t>
      </w:r>
      <w:r>
        <w:rPr>
          <w:sz w:val="24"/>
          <w:szCs w:val="24"/>
          <w:lang w:eastAsia="en-US"/>
        </w:rPr>
        <w:t xml:space="preserve">poderão ser rejeitados, no todo ou em parte, quando em desacordo com as especificações constantes no Termo de Referênciae na proposta, devendo ser </w:t>
      </w:r>
      <w:r>
        <w:rPr>
          <w:rFonts w:hint="default"/>
          <w:sz w:val="24"/>
          <w:szCs w:val="24"/>
          <w:lang w:val="pt-BR" w:eastAsia="en-US"/>
        </w:rPr>
        <w:t>regularizados</w:t>
      </w:r>
      <w:r>
        <w:rPr>
          <w:sz w:val="24"/>
          <w:szCs w:val="24"/>
          <w:lang w:eastAsia="en-US"/>
        </w:rPr>
        <w:t xml:space="preserve"> no prazo </w:t>
      </w:r>
      <w:r>
        <w:rPr>
          <w:color w:val="auto"/>
          <w:sz w:val="24"/>
          <w:szCs w:val="24"/>
          <w:lang w:eastAsia="en-US"/>
        </w:rPr>
        <w:t>de</w:t>
      </w:r>
      <w:r>
        <w:rPr>
          <w:rFonts w:hint="default"/>
          <w:color w:val="auto"/>
          <w:sz w:val="24"/>
          <w:szCs w:val="24"/>
          <w:lang w:val="pt-BR" w:eastAsia="en-US"/>
        </w:rPr>
        <w:t xml:space="preserve"> 05 (cinco) </w:t>
      </w:r>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288" w:afterLines="120" w:line="312" w:lineRule="auto"/>
        <w:rPr>
          <w:rFonts w:ascii="Arial" w:hAnsi="Arial" w:cs="Arial"/>
          <w:b/>
          <w:color w:val="FF0000"/>
          <w:sz w:val="24"/>
          <w:szCs w:val="24"/>
          <w:shd w:val="clear" w:color="auto" w:fill="FFFFFF"/>
        </w:rPr>
      </w:pP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Comum</w:t>
      </w:r>
      <w:bookmarkStart w:id="2" w:name="_GoBack"/>
      <w:bookmarkEnd w:id="2"/>
      <w:r>
        <w:rPr>
          <w:rFonts w:eastAsia="Arial"/>
          <w:sz w:val="24"/>
          <w:szCs w:val="24"/>
        </w:rPr>
        <w:t>, sob a forma ELETRÔNICA, com adoção do critério de julgamento pelo</w:t>
      </w:r>
      <w:r>
        <w:rPr>
          <w:rFonts w:hint="default" w:eastAsia="Arial"/>
          <w:sz w:val="24"/>
          <w:szCs w:val="24"/>
          <w:lang w:val="pt-BR"/>
        </w:rPr>
        <w:t xml:space="preserve"> menor preço por item.</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w:t>
      </w:r>
      <w:r>
        <w:rPr>
          <w:sz w:val="24"/>
          <w:szCs w:val="24"/>
          <w:highlight w:val="none"/>
        </w:rPr>
        <w:t>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pPr>
        <w:pStyle w:val="56"/>
        <w:spacing w:after="288" w:afterLines="120" w:line="312" w:lineRule="auto"/>
        <w:ind w:firstLine="709"/>
        <w:rPr>
          <w:sz w:val="24"/>
          <w:szCs w:val="24"/>
          <w:highlight w:val="yellow"/>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bens/serviços</w:t>
      </w:r>
      <w:r>
        <w:rPr>
          <w:i w:val="0"/>
          <w:iCs w:val="0"/>
          <w:color w:val="auto"/>
          <w:sz w:val="24"/>
          <w:szCs w:val="24"/>
        </w:rPr>
        <w:t xml:space="preserve">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288"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i w:val="0"/>
          <w:iCs w:val="0"/>
          <w:color w:val="auto"/>
          <w:sz w:val="24"/>
          <w:szCs w:val="24"/>
        </w:rPr>
      </w:pPr>
      <w:permStart w:id="0" w:edGrp="everyone"/>
      <w:r>
        <w:rPr>
          <w:rFonts w:hint="default"/>
          <w:i w:val="0"/>
          <w:iCs w:val="0"/>
          <w:color w:val="auto"/>
          <w:sz w:val="24"/>
          <w:szCs w:val="24"/>
          <w:highlight w:val="none"/>
        </w:rPr>
        <w:t>O custo estimado total da contratação está na tabela encaminhada pelo departamento de Suprimentos em anexo.</w:t>
      </w:r>
      <w:permEnd w:id="0"/>
    </w:p>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288" w:afterLines="120" w:line="312" w:lineRule="auto"/>
        <w:rPr>
          <w:i/>
          <w:iCs/>
          <w:color w:val="FF0000"/>
          <w:sz w:val="24"/>
          <w:szCs w:val="24"/>
          <w:highlight w:val="none"/>
        </w:rPr>
      </w:pPr>
    </w:p>
    <w:p>
      <w:pPr>
        <w:pStyle w:val="56"/>
        <w:numPr>
          <w:ilvl w:val="0"/>
          <w:numId w:val="0"/>
        </w:numPr>
        <w:spacing w:after="288" w:afterLines="120" w:line="312" w:lineRule="auto"/>
        <w:rPr>
          <w:rFonts w:hint="default"/>
          <w:color w:val="auto"/>
          <w:sz w:val="24"/>
          <w:szCs w:val="24"/>
          <w:highlight w:val="none"/>
          <w:lang w:val="pt-BR"/>
        </w:rPr>
      </w:pPr>
      <w:r>
        <w:rPr>
          <w:rFonts w:hint="default"/>
          <w:color w:val="auto"/>
          <w:sz w:val="24"/>
          <w:szCs w:val="24"/>
          <w:highlight w:val="none"/>
          <w:lang w:val="pt-BR"/>
        </w:rPr>
        <w:t>Arcos/MG, 13 de Novembro de 2023</w:t>
      </w:r>
    </w:p>
    <w:p>
      <w:pPr>
        <w:pStyle w:val="56"/>
        <w:numPr>
          <w:ilvl w:val="0"/>
          <w:numId w:val="0"/>
        </w:numPr>
        <w:spacing w:after="288" w:afterLines="120" w:line="312" w:lineRule="auto"/>
        <w:rPr>
          <w:rFonts w:hint="default"/>
          <w:color w:val="auto"/>
          <w:sz w:val="24"/>
          <w:szCs w:val="24"/>
          <w:highlight w:val="none"/>
          <w:lang w:val="pt-BR"/>
        </w:rPr>
      </w:pPr>
    </w:p>
    <w:p>
      <w:pPr>
        <w:pStyle w:val="56"/>
        <w:numPr>
          <w:ilvl w:val="0"/>
          <w:numId w:val="0"/>
        </w:numPr>
        <w:spacing w:after="288" w:afterLines="120" w:line="312" w:lineRule="auto"/>
        <w:rPr>
          <w:rFonts w:hint="default"/>
          <w:color w:val="auto"/>
          <w:sz w:val="24"/>
          <w:szCs w:val="24"/>
          <w:highlight w:val="none"/>
          <w:lang w:val="pt-BR"/>
        </w:rPr>
      </w:pPr>
    </w:p>
    <w:p>
      <w:pPr>
        <w:keepNext w:val="0"/>
        <w:keepLines w:val="0"/>
        <w:pageBreakBefore w:val="0"/>
        <w:widowControl/>
        <w:kinsoku/>
        <w:wordWrap/>
        <w:overflowPunct/>
        <w:topLinePunct w:val="0"/>
        <w:autoSpaceDE/>
        <w:autoSpaceDN/>
        <w:bidi w:val="0"/>
        <w:adjustRightInd/>
        <w:snapToGrid/>
        <w:spacing w:line="312" w:lineRule="auto"/>
        <w:ind w:left="357"/>
        <w:jc w:val="center"/>
        <w:textAlignment w:val="auto"/>
        <w:rPr>
          <w:rFonts w:ascii="Arial" w:hAnsi="Arial" w:eastAsia="Arial" w:cs="Arial"/>
          <w:highlight w:val="none"/>
        </w:rPr>
      </w:pPr>
      <w:r>
        <w:rPr>
          <w:rFonts w:ascii="Arial" w:hAnsi="Arial" w:eastAsia="Arial" w:cs="Arial"/>
          <w:highlight w:val="none"/>
        </w:rPr>
        <w:t>__________________________________</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b/>
          <w:bCs/>
          <w:highlight w:val="none"/>
          <w:lang w:val="pt-BR"/>
        </w:rPr>
      </w:pPr>
      <w:r>
        <w:rPr>
          <w:rFonts w:hint="default" w:ascii="Arial" w:hAnsi="Arial" w:eastAsia="Arial" w:cs="Arial"/>
          <w:b/>
          <w:bCs/>
          <w:highlight w:val="none"/>
          <w:lang w:val="pt-BR"/>
        </w:rPr>
        <w:t>Alexandre Ferreira</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highlight w:val="none"/>
          <w:lang w:val="pt-BR"/>
        </w:rPr>
      </w:pPr>
      <w:r>
        <w:rPr>
          <w:rFonts w:hint="default" w:ascii="Arial" w:hAnsi="Arial" w:eastAsia="Arial" w:cs="Arial"/>
          <w:highlight w:val="none"/>
          <w:lang w:val="pt-BR"/>
        </w:rPr>
        <w:t>Secretário Municipal de Meio Ambiente e Agricultura</w:t>
      </w:r>
    </w:p>
    <w:p>
      <w:pPr>
        <w:spacing w:before="120" w:after="288" w:afterLines="120" w:line="312" w:lineRule="auto"/>
        <w:ind w:left="360"/>
        <w:jc w:val="center"/>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Open Sans">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6E7F77E6"/>
    <w:multiLevelType w:val="singleLevel"/>
    <w:tmpl w:val="6E7F77E6"/>
    <w:lvl w:ilvl="0" w:tentative="0">
      <w:start w:val="1"/>
      <w:numFmt w:val="lowerLetter"/>
      <w:suff w:val="space"/>
      <w:lvlText w:val="%1)"/>
      <w:lvlJc w:val="left"/>
      <w:pPr>
        <w:ind w:left="66" w:leftChars="0" w:firstLine="0" w:firstLineChars="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DB8258A"/>
    <w:rsid w:val="0F79B9D7"/>
    <w:rsid w:val="10E0D201"/>
    <w:rsid w:val="11041DAD"/>
    <w:rsid w:val="114D992C"/>
    <w:rsid w:val="15FB6522"/>
    <w:rsid w:val="165C66F7"/>
    <w:rsid w:val="16649FEF"/>
    <w:rsid w:val="187314D3"/>
    <w:rsid w:val="193305E4"/>
    <w:rsid w:val="1A0CC7BE"/>
    <w:rsid w:val="1AB5ADE8"/>
    <w:rsid w:val="1AECDB15"/>
    <w:rsid w:val="1B39798A"/>
    <w:rsid w:val="1C3EC466"/>
    <w:rsid w:val="1C8CA1DF"/>
    <w:rsid w:val="1D38DAFD"/>
    <w:rsid w:val="21D19061"/>
    <w:rsid w:val="21E662A0"/>
    <w:rsid w:val="225CA34E"/>
    <w:rsid w:val="229F366A"/>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3FE7797"/>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5F8A104C"/>
    <w:rsid w:val="607D848B"/>
    <w:rsid w:val="61981D74"/>
    <w:rsid w:val="61D6BAE2"/>
    <w:rsid w:val="633AA146"/>
    <w:rsid w:val="64D671A7"/>
    <w:rsid w:val="650E5BA4"/>
    <w:rsid w:val="67AF5CA0"/>
    <w:rsid w:val="6B89711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5CDB-1419-435A-AC24-1D47985E0D45}">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14</TotalTime>
  <ScaleCrop>false</ScaleCrop>
  <LinksUpToDate>false</LinksUpToDate>
  <CharactersWithSpaces>30501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dlimirio</cp:lastModifiedBy>
  <cp:lastPrinted>2023-11-14T13:39:24Z</cp:lastPrinted>
  <dcterms:modified xsi:type="dcterms:W3CDTF">2023-11-14T13:43:02Z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1046-12.2.0.13306</vt:lpwstr>
  </property>
  <property fmtid="{D5CDD505-2E9C-101B-9397-08002B2CF9AE}" pid="5" name="ICV">
    <vt:lpwstr>F3DAD1E23EEE4EB88E2C2ADAD046A4E3_13</vt:lpwstr>
  </property>
</Properties>
</file>