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highlight w:val="none"/>
        </w:rPr>
      </w:pPr>
      <w:bookmarkStart w:id="0" w:name="_Hlk82471863"/>
      <w:r>
        <w:rPr>
          <w:rFonts w:ascii="Arial" w:hAnsi="Arial" w:eastAsia="Times New Roman" w:cs="Arial"/>
          <w:b/>
          <w:iCs/>
        </w:rPr>
        <w:t>TER</w:t>
      </w:r>
      <w:r>
        <w:rPr>
          <w:rFonts w:ascii="Arial" w:hAnsi="Arial" w:eastAsia="Times New Roman" w:cs="Arial"/>
          <w:b/>
          <w:iCs/>
          <w:highlight w:val="none"/>
        </w:rPr>
        <w:t>MO DE REFERÊNCIA</w:t>
      </w:r>
    </w:p>
    <w:p>
      <w:pPr>
        <w:jc w:val="center"/>
        <w:rPr>
          <w:rFonts w:hint="default" w:ascii="Arial" w:hAnsi="Arial" w:eastAsia="Times New Roman" w:cs="Arial"/>
          <w:b/>
          <w:iCs/>
          <w:highlight w:val="none"/>
          <w:lang w:val="pt-BR"/>
        </w:rPr>
      </w:pPr>
      <w:r>
        <w:rPr>
          <w:rFonts w:hint="default" w:ascii="Arial" w:hAnsi="Arial" w:eastAsia="Times New Roman" w:cs="Arial"/>
          <w:b/>
          <w:iCs/>
          <w:highlight w:val="none"/>
          <w:lang w:val="pt-BR"/>
        </w:rPr>
        <w:t>N°     69/2023</w:t>
      </w:r>
    </w:p>
    <w:p>
      <w:pPr>
        <w:jc w:val="center"/>
        <w:rPr>
          <w:rFonts w:ascii="Arial" w:hAnsi="Arial" w:eastAsia="Times New Roman" w:cs="Arial"/>
          <w:b/>
          <w:iCs/>
          <w:highlight w:val="none"/>
        </w:rPr>
      </w:pPr>
      <w:r>
        <w:rPr>
          <w:rFonts w:ascii="Arial" w:hAnsi="Arial" w:eastAsia="Times New Roman" w:cs="Arial"/>
          <w:b/>
          <w:iCs/>
          <w:highlight w:val="none"/>
        </w:rPr>
        <w:t>MUNICÍPIO DE ARCOS/MG</w:t>
      </w:r>
    </w:p>
    <w:p>
      <w:pPr>
        <w:jc w:val="center"/>
        <w:rPr>
          <w:rFonts w:ascii="Arial" w:hAnsi="Arial" w:eastAsia="Times New Roman" w:cs="Arial"/>
          <w:b/>
          <w:iCs/>
          <w:highlight w:val="none"/>
        </w:rPr>
      </w:pPr>
    </w:p>
    <w:p>
      <w:pPr>
        <w:pStyle w:val="39"/>
        <w:numPr>
          <w:ilvl w:val="0"/>
          <w:numId w:val="3"/>
        </w:numPr>
        <w:spacing w:before="120" w:after="288" w:afterLines="120" w:line="312" w:lineRule="auto"/>
        <w:ind w:left="0" w:firstLine="0"/>
        <w:rPr>
          <w:rFonts w:eastAsia="Arial"/>
          <w:sz w:val="24"/>
          <w:szCs w:val="24"/>
          <w:highlight w:val="none"/>
        </w:rPr>
      </w:pPr>
      <w:r>
        <w:rPr>
          <w:sz w:val="24"/>
          <w:szCs w:val="24"/>
          <w:highlight w:val="none"/>
        </w:rPr>
        <w:t>CONDIÇÕES GERAIS DA CONTRATAÇÃO</w:t>
      </w:r>
    </w:p>
    <w:p>
      <w:pPr>
        <w:pStyle w:val="56"/>
        <w:spacing w:after="288" w:afterLines="120" w:line="312" w:lineRule="auto"/>
        <w:ind w:firstLine="709"/>
        <w:rPr>
          <w:b/>
          <w:bCs/>
          <w:sz w:val="24"/>
          <w:szCs w:val="24"/>
        </w:rPr>
      </w:pPr>
      <w:r>
        <w:rPr>
          <w:sz w:val="24"/>
          <w:szCs w:val="24"/>
          <w:highlight w:val="none"/>
        </w:rPr>
        <w:t xml:space="preserve">Aquisição de </w:t>
      </w:r>
      <w:r>
        <w:rPr>
          <w:rFonts w:hint="default"/>
          <w:sz w:val="24"/>
          <w:szCs w:val="24"/>
          <w:highlight w:val="none"/>
          <w:lang w:val="pt-BR"/>
        </w:rPr>
        <w:t>dietas por demanda judicial</w:t>
      </w:r>
      <w:r>
        <w:rPr>
          <w:b/>
          <w:bCs/>
          <w:sz w:val="24"/>
          <w:szCs w:val="24"/>
          <w:highlight w:val="none"/>
        </w:rPr>
        <w:t>,</w:t>
      </w:r>
      <w:r>
        <w:rPr>
          <w:sz w:val="24"/>
          <w:szCs w:val="24"/>
        </w:rPr>
        <w:t xml:space="preserve"> nos termos da tabela abaixo, conforme condições e exigências estabelecidas neste instrumento.</w:t>
      </w:r>
    </w:p>
    <w:tbl>
      <w:tblPr>
        <w:tblStyle w:val="8"/>
        <w:tblW w:w="949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551"/>
        <w:gridCol w:w="1417"/>
        <w:gridCol w:w="1559"/>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000000"/>
                <w:sz w:val="24"/>
                <w:szCs w:val="24"/>
              </w:rPr>
            </w:pPr>
            <w:r>
              <w:rPr>
                <w:rFonts w:ascii="Arial" w:hAnsi="Arial" w:eastAsia="Arial" w:cs="Arial"/>
                <w:b/>
                <w:bCs/>
                <w:color w:val="000000" w:themeColor="text1"/>
                <w:sz w:val="24"/>
                <w:szCs w:val="24"/>
                <w14:textFill>
                  <w14:solidFill>
                    <w14:schemeClr w14:val="tx1"/>
                  </w14:solidFill>
                </w14:textFill>
              </w:rPr>
              <w:t>ITEM</w:t>
            </w:r>
          </w:p>
          <w:p>
            <w:pPr>
              <w:widowControl w:val="0"/>
              <w:suppressAutoHyphens/>
              <w:spacing w:before="120" w:after="288" w:afterLines="120" w:line="312" w:lineRule="auto"/>
              <w:jc w:val="center"/>
              <w:rPr>
                <w:rFonts w:ascii="Arial" w:hAnsi="Arial" w:eastAsia="Arial" w:cs="Arial"/>
                <w:b/>
                <w:bCs/>
                <w:color w:val="000000"/>
                <w:sz w:val="24"/>
                <w:szCs w:val="24"/>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000000"/>
                <w:sz w:val="24"/>
                <w:szCs w:val="24"/>
              </w:rPr>
            </w:pPr>
            <w:r>
              <w:rPr>
                <w:rFonts w:ascii="Arial" w:hAnsi="Arial" w:eastAsia="Arial" w:cs="Arial"/>
                <w:b/>
                <w:bCs/>
                <w:color w:val="000000" w:themeColor="text1"/>
                <w:sz w:val="24"/>
                <w:szCs w:val="24"/>
                <w14:textFill>
                  <w14:solidFill>
                    <w14:schemeClr w14:val="tx1"/>
                  </w14:solidFill>
                </w14:textFill>
              </w:rPr>
              <w:t>ESPECIFICAÇÃO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000000"/>
                <w:sz w:val="24"/>
                <w:szCs w:val="24"/>
              </w:rPr>
            </w:pPr>
            <w:r>
              <w:rPr>
                <w:rFonts w:ascii="Arial" w:hAnsi="Arial" w:eastAsia="Arial" w:cs="Arial"/>
                <w:b/>
                <w:bCs/>
                <w:color w:val="000000" w:themeColor="text1"/>
                <w:sz w:val="24"/>
                <w:szCs w:val="24"/>
                <w14:textFill>
                  <w14:solidFill>
                    <w14:schemeClr w14:val="tx1"/>
                  </w14:solidFill>
                </w14:textFill>
              </w:rPr>
              <w:t>UNIDADE DE MEDIDA</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sz w:val="24"/>
                <w:szCs w:val="24"/>
              </w:rPr>
            </w:pPr>
            <w:r>
              <w:rPr>
                <w:rFonts w:ascii="Arial" w:hAnsi="Arial" w:eastAsia="Arial" w:cs="Arial"/>
                <w:b/>
                <w:bCs/>
                <w:sz w:val="24"/>
                <w:szCs w:val="24"/>
              </w:rPr>
              <w:t>QUANT.</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sz w:val="24"/>
                <w:szCs w:val="24"/>
              </w:rPr>
            </w:pPr>
            <w:r>
              <w:rPr>
                <w:rFonts w:ascii="Arial" w:hAnsi="Arial" w:eastAsia="Arial" w:cs="Arial"/>
                <w:b/>
                <w:bCs/>
                <w:sz w:val="24"/>
                <w:szCs w:val="24"/>
              </w:rPr>
              <w:t>VALOR UNITÁRIO</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sz w:val="24"/>
                <w:szCs w:val="24"/>
              </w:rPr>
            </w:pPr>
            <w:r>
              <w:rPr>
                <w:rFonts w:ascii="Arial" w:hAnsi="Arial" w:eastAsia="Arial" w:cs="Arial"/>
                <w:b/>
                <w:bCs/>
                <w:sz w:val="24"/>
                <w:szCs w:val="24"/>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288" w:afterLines="120" w:line="312" w:lineRule="auto"/>
              <w:jc w:val="center"/>
              <w:rPr>
                <w:rFonts w:hint="default" w:ascii="Arial" w:hAnsi="Arial" w:eastAsia="Arial" w:cs="Arial"/>
                <w:b/>
                <w:bCs/>
                <w:color w:val="000000"/>
                <w:sz w:val="24"/>
                <w:szCs w:val="24"/>
              </w:rPr>
            </w:pPr>
            <w:r>
              <w:rPr>
                <w:rFonts w:hint="default" w:ascii="Arial" w:hAnsi="Arial" w:eastAsia="Arial" w:cs="Arial"/>
                <w:b/>
                <w:bCs/>
                <w:color w:val="000000" w:themeColor="text1"/>
                <w:sz w:val="24"/>
                <w:szCs w:val="24"/>
                <w14:textFill>
                  <w14:solidFill>
                    <w14:schemeClr w14:val="tx1"/>
                  </w14:solidFill>
                </w14:textFill>
              </w:rPr>
              <w:t>1</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color w:val="auto"/>
                <w:sz w:val="24"/>
                <w:szCs w:val="24"/>
                <w:lang w:val="pt-BR" w:eastAsia="pt-BR" w:bidi="ar-SA"/>
              </w:rPr>
            </w:pPr>
            <w:r>
              <w:rPr>
                <w:rFonts w:hint="default" w:ascii="Arial" w:hAnsi="Arial" w:cs="Arial"/>
                <w:color w:val="auto"/>
                <w:sz w:val="24"/>
                <w:szCs w:val="24"/>
                <w:lang w:val="pt-BR" w:eastAsia="pt-BR"/>
              </w:rPr>
              <w:t>ISOSOURCE SOYA 1.2 SISTEMA ABERTO. MARCA : NESTLÉ. – exigência de obrigatoriedade da marca por ser produto  para cumprir demanda judicial - Alimento nutricionalmente completo para nutrição enteral ou oral, normocalórico. Cada 1ml de Isosource® Soya fornece 1,2 kcal.Osmolalidade: 360 mOsm/kg de água. Água, maltodextrina, proteína isolada de soja, óleo de canola, triglicerídeos de cadeia média, citrato de potássio, fosfato tricálcico, citrato de sódio, bitartarato de colina, cloreto de potássio, óxido de magnésio, cloreto de magnésio, vitamina C, sulfato ferroso, vitamina E, sulfato de zinco, niacina, vitamina A, sulfato de manganês, pantotenato de cálcio, gluconato de cobre, vitamina D,  vitamina B1, vitamina B6, vitamina B2, ácido fólico, iodeto de potássio.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default" w:ascii="Arial" w:hAnsi="Arial" w:cs="Arial" w:eastAsiaTheme="minorEastAsia"/>
                <w:b w:val="0"/>
                <w:bCs/>
                <w:color w:val="auto"/>
                <w:sz w:val="24"/>
                <w:szCs w:val="24"/>
                <w:lang w:val="pt-BR" w:eastAsia="pt-BR" w:bidi="ar-SA"/>
              </w:rPr>
            </w:pPr>
            <w:r>
              <w:rPr>
                <w:rFonts w:hint="default" w:ascii="Arial" w:hAnsi="Arial" w:cs="Arial"/>
                <w:b w:val="0"/>
                <w:bCs/>
                <w:color w:val="auto"/>
                <w:sz w:val="24"/>
                <w:szCs w:val="24"/>
                <w:lang w:val="pt-BR"/>
              </w:rPr>
              <w:t>7.944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312" w:lineRule="auto"/>
              <w:jc w:val="center"/>
              <w:rPr>
                <w:rFonts w:hint="default" w:ascii="Arial" w:hAnsi="Arial" w:eastAsia="Arial" w:cs="Arial"/>
                <w:color w:val="000000"/>
                <w:sz w:val="24"/>
                <w:szCs w:val="24"/>
                <w:lang w:val="pt-BR"/>
              </w:rPr>
            </w:pPr>
            <w:r>
              <w:rPr>
                <w:rFonts w:hint="default" w:ascii="Arial" w:hAnsi="Arial" w:eastAsia="Arial" w:cs="Arial"/>
                <w:color w:val="000000"/>
                <w:sz w:val="24"/>
                <w:szCs w:val="24"/>
                <w:lang w:val="pt-BR"/>
              </w:rPr>
              <w:t>Litros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4"/>
                <w:szCs w:val="24"/>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288" w:afterLines="120" w:line="312" w:lineRule="auto"/>
              <w:jc w:val="center"/>
              <w:rPr>
                <w:rFonts w:hint="default" w:ascii="Arial" w:hAnsi="Arial" w:eastAsia="Arial" w:cs="Arial"/>
                <w:b/>
                <w:bCs/>
                <w:color w:val="000000"/>
                <w:sz w:val="24"/>
                <w:szCs w:val="24"/>
              </w:rPr>
            </w:pPr>
            <w:r>
              <w:rPr>
                <w:rFonts w:hint="default" w:ascii="Arial" w:hAnsi="Arial" w:eastAsia="Arial" w:cs="Arial"/>
                <w:b/>
                <w:bCs/>
                <w:color w:val="000000" w:themeColor="text1"/>
                <w:sz w:val="24"/>
                <w:szCs w:val="24"/>
                <w14:textFill>
                  <w14:solidFill>
                    <w14:schemeClr w14:val="tx1"/>
                  </w14:solidFill>
                </w14:textFill>
              </w:rPr>
              <w:t>2</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4"/>
                <w:szCs w:val="24"/>
                <w:lang w:val="pt-BR"/>
              </w:rPr>
            </w:pPr>
            <w:r>
              <w:rPr>
                <w:rFonts w:hint="default" w:ascii="Arial" w:hAnsi="Arial" w:cs="Arial"/>
                <w:sz w:val="24"/>
                <w:szCs w:val="24"/>
              </w:rPr>
              <w:t>Neospoon -  exigência de obrigatoriedade da marca por ser produto  para cumprir demanda judicial -mistura para dietas com restrição de proteinas integras hidrolisadas a base de minoácidos livres</w:t>
            </w:r>
            <w:r>
              <w:rPr>
                <w:rFonts w:hint="default" w:ascii="Arial" w:hAnsi="Arial" w:cs="Arial"/>
                <w:sz w:val="24"/>
                <w:szCs w:val="24"/>
                <w:lang w:val="pt-B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24"/>
                <w:szCs w:val="24"/>
                <w:lang w:val="pt-BR" w:eastAsia="pt-BR" w:bidi="ar-SA"/>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default" w:ascii="Arial" w:hAnsi="Arial" w:cs="Arial" w:eastAsiaTheme="minorEastAsia"/>
                <w:b w:val="0"/>
                <w:bCs/>
                <w:color w:val="auto"/>
                <w:sz w:val="24"/>
                <w:szCs w:val="24"/>
                <w:lang w:val="pt-BR" w:eastAsia="pt-BR" w:bidi="ar-SA"/>
              </w:rPr>
            </w:pPr>
            <w:r>
              <w:rPr>
                <w:rFonts w:hint="default" w:ascii="Arial" w:hAnsi="Arial" w:cs="Arial"/>
                <w:b w:val="0"/>
                <w:bCs/>
                <w:color w:val="auto"/>
                <w:sz w:val="24"/>
                <w:szCs w:val="24"/>
                <w:lang w:val="pt-BR"/>
              </w:rPr>
              <w:t>94</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line="312" w:lineRule="auto"/>
              <w:jc w:val="center"/>
              <w:rPr>
                <w:rFonts w:hint="default" w:ascii="Arial" w:hAnsi="Arial" w:eastAsia="Arial" w:cs="Arial"/>
                <w:color w:val="000000"/>
                <w:sz w:val="24"/>
                <w:szCs w:val="24"/>
                <w:lang w:val="pt-BR"/>
              </w:rPr>
            </w:pPr>
            <w:r>
              <w:rPr>
                <w:rFonts w:hint="default" w:ascii="Arial" w:hAnsi="Arial" w:eastAsia="Arial" w:cs="Arial"/>
                <w:color w:val="000000"/>
                <w:sz w:val="24"/>
                <w:szCs w:val="24"/>
                <w:lang w:val="pt-BR"/>
              </w:rPr>
              <w:t>Latas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4"/>
                <w:szCs w:val="24"/>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4"/>
                <w:szCs w:val="24"/>
              </w:rPr>
            </w:pPr>
          </w:p>
        </w:tc>
      </w:tr>
    </w:tbl>
    <w:p>
      <w:pPr>
        <w:pStyle w:val="56"/>
        <w:spacing w:after="288" w:afterLines="120" w:line="312" w:lineRule="auto"/>
        <w:ind w:firstLine="709"/>
        <w:rPr>
          <w:sz w:val="24"/>
          <w:szCs w:val="24"/>
          <w:highlight w:val="none"/>
        </w:rPr>
      </w:pPr>
      <w:r>
        <w:rPr>
          <w:sz w:val="24"/>
          <w:szCs w:val="24"/>
          <w:highlight w:val="none"/>
        </w:rPr>
        <w:t xml:space="preserve">O objeto desta contratação não se enquadra como sendo de bem de luxo, conforme Decreto Municipal nº </w:t>
      </w:r>
      <w:r>
        <w:rPr>
          <w:rFonts w:hint="default"/>
          <w:sz w:val="24"/>
          <w:szCs w:val="24"/>
          <w:highlight w:val="none"/>
          <w:lang w:val="pt-BR"/>
        </w:rPr>
        <w:t>6535</w:t>
      </w:r>
      <w:r>
        <w:rPr>
          <w:sz w:val="24"/>
          <w:szCs w:val="24"/>
          <w:highlight w:val="none"/>
        </w:rPr>
        <w:t>/2023.</w:t>
      </w:r>
    </w:p>
    <w:p>
      <w:pPr>
        <w:pStyle w:val="56"/>
        <w:spacing w:after="288" w:afterLines="120" w:line="312" w:lineRule="auto"/>
        <w:ind w:firstLine="709"/>
        <w:rPr>
          <w:sz w:val="24"/>
          <w:szCs w:val="24"/>
          <w:highlight w:val="none"/>
        </w:rPr>
      </w:pPr>
      <w:r>
        <w:rPr>
          <w:sz w:val="24"/>
          <w:szCs w:val="24"/>
          <w:highlight w:val="none"/>
        </w:rPr>
        <w:t>Os bens objeto desta contratação são caracterizados como comuns, conforme justificativa constante do Estudo Técnico Preliminar.</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O prazo de vigência da contratação é de</w:t>
      </w:r>
      <w:r>
        <w:rPr>
          <w:rFonts w:hint="default"/>
          <w:i w:val="0"/>
          <w:iCs w:val="0"/>
          <w:color w:val="auto"/>
          <w:sz w:val="24"/>
          <w:szCs w:val="24"/>
          <w:highlight w:val="none"/>
          <w:lang w:val="pt-BR"/>
        </w:rPr>
        <w:t xml:space="preserve"> 12 (doze) meses </w:t>
      </w:r>
      <w:r>
        <w:rPr>
          <w:i w:val="0"/>
          <w:iCs w:val="0"/>
          <w:color w:val="auto"/>
          <w:sz w:val="24"/>
          <w:szCs w:val="24"/>
          <w:highlight w:val="none"/>
        </w:rPr>
        <w:t>contados do(a)</w:t>
      </w:r>
      <w:r>
        <w:rPr>
          <w:rFonts w:hint="default"/>
          <w:i w:val="0"/>
          <w:iCs w:val="0"/>
          <w:color w:val="auto"/>
          <w:sz w:val="24"/>
          <w:szCs w:val="24"/>
          <w:highlight w:val="none"/>
          <w:lang w:val="pt-BR"/>
        </w:rPr>
        <w:t xml:space="preserve"> assinatura do contrato</w:t>
      </w:r>
      <w:r>
        <w:rPr>
          <w:i w:val="0"/>
          <w:iCs w:val="0"/>
          <w:color w:val="auto"/>
          <w:sz w:val="24"/>
          <w:szCs w:val="24"/>
          <w:highlight w:val="none"/>
        </w:rPr>
        <w:t>, na forma do artigo 105 da Lei n° 14.133, de 2021.</w:t>
      </w:r>
    </w:p>
    <w:p>
      <w:pPr>
        <w:pStyle w:val="56"/>
        <w:spacing w:after="288" w:afterLines="120" w:line="312" w:lineRule="auto"/>
        <w:ind w:firstLine="709"/>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firstLine="709"/>
        <w:rPr>
          <w:sz w:val="24"/>
          <w:szCs w:val="24"/>
          <w:highlight w:val="none"/>
        </w:rPr>
      </w:pPr>
      <w:r>
        <w:rPr>
          <w:sz w:val="24"/>
          <w:szCs w:val="24"/>
        </w:rPr>
        <w:t>A Fundamentação da Contratação e de seus quantitativos encontra-se pormenorizada em Tópico específico dos Estudos Técnicos Preliminares, apêndice deste T</w:t>
      </w:r>
      <w:r>
        <w:rPr>
          <w:sz w:val="24"/>
          <w:szCs w:val="24"/>
          <w:highlight w:val="none"/>
        </w:rPr>
        <w:t>ermo de Referência.</w:t>
      </w:r>
    </w:p>
    <w:p>
      <w:pPr>
        <w:pStyle w:val="56"/>
        <w:spacing w:after="288" w:afterLines="120" w:line="312" w:lineRule="auto"/>
        <w:ind w:firstLine="709"/>
        <w:rPr>
          <w:sz w:val="24"/>
          <w:szCs w:val="24"/>
          <w:highlight w:val="none"/>
        </w:rPr>
      </w:pPr>
      <w:r>
        <w:rPr>
          <w:sz w:val="24"/>
          <w:szCs w:val="24"/>
          <w:highlight w:val="none"/>
        </w:rPr>
        <w:t xml:space="preserve">O objeto da contratação está previsto no Plano de Contratações Anual  de </w:t>
      </w:r>
      <w:r>
        <w:rPr>
          <w:rFonts w:hint="default"/>
          <w:sz w:val="24"/>
          <w:szCs w:val="24"/>
          <w:highlight w:val="none"/>
          <w:lang w:val="pt-BR"/>
        </w:rPr>
        <w:t>2023</w:t>
      </w:r>
      <w:r>
        <w:rPr>
          <w:color w:val="auto"/>
          <w:sz w:val="24"/>
          <w:szCs w:val="24"/>
          <w:highlight w:val="none"/>
        </w:rPr>
        <w:t>.</w:t>
      </w:r>
      <w:r>
        <w:rPr>
          <w:rFonts w:hint="default"/>
          <w:color w:val="auto"/>
          <w:sz w:val="24"/>
          <w:szCs w:val="24"/>
          <w:highlight w:val="none"/>
          <w:lang w:val="pt-BR"/>
        </w:rPr>
        <w:t xml:space="preserve"> Os itens a serem adquiridos enquadram- se em medicamentos, dietas e insumos.</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firstLine="709"/>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4"/>
        <w:keepNext/>
        <w:keepLines/>
        <w:numPr>
          <w:ilvl w:val="0"/>
          <w:numId w:val="0"/>
        </w:numPr>
        <w:spacing w:after="288" w:afterLines="120" w:line="312" w:lineRule="auto"/>
        <w:ind w:left="357"/>
        <w:outlineLvl w:val="1"/>
        <w:rPr>
          <w:i w:val="0"/>
          <w:iCs w:val="0"/>
          <w:color w:val="auto"/>
          <w:sz w:val="24"/>
          <w:szCs w:val="24"/>
          <w:highlight w:val="none"/>
        </w:rPr>
      </w:pPr>
      <w:r>
        <w:rPr>
          <w:b/>
          <w:bCs/>
          <w:i w:val="0"/>
          <w:iCs w:val="0"/>
          <w:color w:val="auto"/>
          <w:sz w:val="24"/>
          <w:szCs w:val="24"/>
          <w:highlight w:val="none"/>
        </w:rPr>
        <w:t>Indicação de marcas ou modelos</w:t>
      </w:r>
      <w:r>
        <w:rPr>
          <w:i w:val="0"/>
          <w:iCs w:val="0"/>
          <w:color w:val="auto"/>
          <w:sz w:val="24"/>
          <w:szCs w:val="24"/>
          <w:highlight w:val="none"/>
        </w:rPr>
        <w:t xml:space="preserve"> (</w:t>
      </w:r>
      <w:r>
        <w:rPr>
          <w:highlight w:val="none"/>
        </w:rPr>
        <w:fldChar w:fldCharType="begin"/>
      </w:r>
      <w:r>
        <w:rPr>
          <w:highlight w:val="none"/>
        </w:rPr>
        <w:instrText xml:space="preserve"> HYPERLINK "http://www.planalto.gov.br/ccivil_03/_ato2019-2022/2021/lei/L14133.htm" \l "art41" </w:instrText>
      </w:r>
      <w:r>
        <w:rPr>
          <w:highlight w:val="none"/>
        </w:rPr>
        <w:fldChar w:fldCharType="separate"/>
      </w:r>
      <w:r>
        <w:rPr>
          <w:rStyle w:val="13"/>
          <w:i w:val="0"/>
          <w:iCs w:val="0"/>
          <w:color w:val="auto"/>
          <w:sz w:val="24"/>
          <w:szCs w:val="24"/>
          <w:highlight w:val="none"/>
        </w:rPr>
        <w:t>Art. 41, inciso I, da Lei nº 14.133, de 2021</w:t>
      </w:r>
      <w:r>
        <w:rPr>
          <w:rStyle w:val="13"/>
          <w:i w:val="0"/>
          <w:iCs w:val="0"/>
          <w:color w:val="auto"/>
          <w:sz w:val="24"/>
          <w:szCs w:val="24"/>
          <w:highlight w:val="none"/>
        </w:rPr>
        <w:fldChar w:fldCharType="end"/>
      </w:r>
      <w:r>
        <w:rPr>
          <w:i w:val="0"/>
          <w:iCs w:val="0"/>
          <w:color w:val="auto"/>
          <w:sz w:val="24"/>
          <w:szCs w:val="24"/>
          <w:highlight w:val="none"/>
        </w:rPr>
        <w:t>):</w:t>
      </w:r>
    </w:p>
    <w:p>
      <w:pPr>
        <w:pStyle w:val="56"/>
        <w:spacing w:after="288" w:afterLines="120" w:line="312" w:lineRule="auto"/>
        <w:ind w:firstLine="709"/>
        <w:rPr>
          <w:color w:val="auto"/>
          <w:sz w:val="24"/>
          <w:szCs w:val="24"/>
        </w:rPr>
      </w:pPr>
      <w:r>
        <w:rPr>
          <w:color w:val="auto"/>
          <w:sz w:val="24"/>
          <w:szCs w:val="24"/>
          <w:highlight w:val="none"/>
        </w:rPr>
        <w:t xml:space="preserve">Na presente contratação </w:t>
      </w:r>
      <w:r>
        <w:rPr>
          <w:color w:val="auto"/>
          <w:sz w:val="24"/>
          <w:szCs w:val="24"/>
        </w:rPr>
        <w:t xml:space="preserve">será admitida a indicação da(s) seguinte(s) marca(s), característica(s) ou modelo(s), de acordo com as justificativas contidas nos Estudos Técnicos Preliminares: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338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543" w:type="dxa"/>
            <w:shd w:val="clear" w:color="auto" w:fill="BEBEBE" w:themeFill="background1" w:themeFillShade="BF"/>
            <w:vAlign w:val="center"/>
          </w:tcPr>
          <w:p>
            <w:pPr>
              <w:pStyle w:val="56"/>
              <w:numPr>
                <w:ilvl w:val="1"/>
                <w:numId w:val="0"/>
              </w:numPr>
              <w:spacing w:after="288" w:afterLines="120" w:line="312" w:lineRule="auto"/>
              <w:jc w:val="center"/>
              <w:rPr>
                <w:rFonts w:hint="default"/>
                <w:b/>
                <w:bCs/>
                <w:color w:val="auto"/>
                <w:sz w:val="20"/>
                <w:szCs w:val="20"/>
                <w:vertAlign w:val="baseline"/>
                <w:lang w:val="pt-BR"/>
              </w:rPr>
            </w:pPr>
            <w:r>
              <w:rPr>
                <w:rFonts w:hint="default"/>
                <w:b/>
                <w:bCs/>
                <w:color w:val="auto"/>
                <w:sz w:val="20"/>
                <w:szCs w:val="20"/>
                <w:vertAlign w:val="baseline"/>
                <w:lang w:val="pt-BR"/>
              </w:rPr>
              <w:t>ITEM</w:t>
            </w:r>
          </w:p>
        </w:tc>
        <w:tc>
          <w:tcPr>
            <w:tcW w:w="3383" w:type="dxa"/>
            <w:shd w:val="clear" w:color="auto" w:fill="BEBEBE" w:themeFill="background1" w:themeFillShade="BF"/>
            <w:vAlign w:val="center"/>
          </w:tcPr>
          <w:p>
            <w:pPr>
              <w:pStyle w:val="56"/>
              <w:numPr>
                <w:ilvl w:val="1"/>
                <w:numId w:val="0"/>
              </w:numPr>
              <w:spacing w:after="288" w:afterLines="120" w:line="312" w:lineRule="auto"/>
              <w:jc w:val="center"/>
              <w:rPr>
                <w:rFonts w:hint="default"/>
                <w:b/>
                <w:bCs/>
                <w:color w:val="auto"/>
                <w:sz w:val="20"/>
                <w:szCs w:val="20"/>
                <w:vertAlign w:val="baseline"/>
                <w:lang w:val="pt-BR"/>
              </w:rPr>
            </w:pPr>
            <w:r>
              <w:rPr>
                <w:rFonts w:hint="default"/>
                <w:b/>
                <w:bCs/>
                <w:color w:val="auto"/>
                <w:sz w:val="20"/>
                <w:szCs w:val="20"/>
                <w:vertAlign w:val="baseline"/>
                <w:lang w:val="pt-BR"/>
              </w:rPr>
              <w:t>DESCRIÇÃO DO PRODUTO</w:t>
            </w:r>
          </w:p>
        </w:tc>
        <w:tc>
          <w:tcPr>
            <w:tcW w:w="2464" w:type="dxa"/>
            <w:shd w:val="clear" w:color="auto" w:fill="BEBEBE" w:themeFill="background1" w:themeFillShade="BF"/>
            <w:vAlign w:val="center"/>
          </w:tcPr>
          <w:p>
            <w:pPr>
              <w:pStyle w:val="56"/>
              <w:numPr>
                <w:ilvl w:val="1"/>
                <w:numId w:val="0"/>
              </w:numPr>
              <w:spacing w:after="288" w:afterLines="120" w:line="312" w:lineRule="auto"/>
              <w:jc w:val="center"/>
              <w:rPr>
                <w:rFonts w:hint="default"/>
                <w:b/>
                <w:bCs/>
                <w:color w:val="auto"/>
                <w:sz w:val="20"/>
                <w:szCs w:val="20"/>
                <w:vertAlign w:val="baseline"/>
                <w:lang w:val="pt-BR"/>
              </w:rPr>
            </w:pPr>
            <w:r>
              <w:rPr>
                <w:rFonts w:hint="default"/>
                <w:b/>
                <w:bCs/>
                <w:color w:val="auto"/>
                <w:sz w:val="20"/>
                <w:szCs w:val="20"/>
                <w:vertAlign w:val="baseline"/>
                <w:lang w:val="pt-BR"/>
              </w:rPr>
              <w:t>UNIDADE DE MEDIDA</w:t>
            </w:r>
          </w:p>
        </w:tc>
        <w:tc>
          <w:tcPr>
            <w:tcW w:w="2464" w:type="dxa"/>
            <w:shd w:val="clear" w:color="auto" w:fill="BEBEBE" w:themeFill="background1" w:themeFillShade="BF"/>
            <w:vAlign w:val="center"/>
          </w:tcPr>
          <w:p>
            <w:pPr>
              <w:pStyle w:val="56"/>
              <w:numPr>
                <w:ilvl w:val="1"/>
                <w:numId w:val="0"/>
              </w:numPr>
              <w:spacing w:after="288" w:afterLines="120" w:line="312" w:lineRule="auto"/>
              <w:jc w:val="center"/>
              <w:rPr>
                <w:rFonts w:hint="default"/>
                <w:b/>
                <w:bCs/>
                <w:color w:val="auto"/>
                <w:sz w:val="20"/>
                <w:szCs w:val="20"/>
                <w:vertAlign w:val="baseline"/>
                <w:lang w:val="pt-BR"/>
              </w:rPr>
            </w:pPr>
            <w:r>
              <w:rPr>
                <w:rFonts w:hint="default"/>
                <w:b/>
                <w:bCs/>
                <w:color w:val="auto"/>
                <w:sz w:val="20"/>
                <w:szCs w:val="20"/>
                <w:vertAlign w:val="baseline"/>
                <w:lang w:val="pt-BR"/>
              </w:rPr>
              <w:t>MARCA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pStyle w:val="56"/>
              <w:numPr>
                <w:ilvl w:val="1"/>
                <w:numId w:val="0"/>
              </w:numPr>
              <w:spacing w:after="288" w:afterLines="120" w:line="312" w:lineRule="auto"/>
              <w:jc w:val="center"/>
              <w:rPr>
                <w:rFonts w:hint="default"/>
                <w:color w:val="auto"/>
                <w:sz w:val="20"/>
                <w:szCs w:val="20"/>
                <w:vertAlign w:val="baseline"/>
                <w:lang w:val="pt-BR"/>
              </w:rPr>
            </w:pPr>
            <w:r>
              <w:rPr>
                <w:rFonts w:hint="default"/>
                <w:color w:val="auto"/>
                <w:sz w:val="20"/>
                <w:szCs w:val="20"/>
                <w:vertAlign w:val="baseline"/>
                <w:lang w:val="pt-BR"/>
              </w:rPr>
              <w:t>1</w:t>
            </w:r>
          </w:p>
        </w:tc>
        <w:tc>
          <w:tcPr>
            <w:tcW w:w="33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color w:val="auto"/>
                <w:sz w:val="20"/>
                <w:szCs w:val="20"/>
                <w:lang w:val="pt-BR" w:eastAsia="pt-BR" w:bidi="ar-SA"/>
              </w:rPr>
            </w:pPr>
            <w:r>
              <w:rPr>
                <w:rFonts w:hint="default" w:ascii="Arial" w:hAnsi="Arial" w:cs="Arial"/>
                <w:color w:val="auto"/>
                <w:sz w:val="20"/>
                <w:szCs w:val="20"/>
                <w:lang w:val="pt-BR" w:eastAsia="pt-BR"/>
              </w:rPr>
              <w:t>ISOSOURCE SOYA 1.2 SISTEMA ABERTO. MARCA : NESTLÉ. – exigência de obrigatoriedade da marca por ser produto  para cumprir demanda judicial - Alimento nutricionalmente completo para nutrição enteral ou oral, normocalórico. Cada 1ml de Isosource® Soya fornece 1,2 kcal.Osmolalidade: 360 mOsm/kg de água. Água, maltodextrina, proteína isolada de soja, óleo de canola, triglicerídeos de cadeia média, citrato de potássio, fosfato tricálcico, citrato de sódio, bitartarato de colina, cloreto de potássio, óxido de magnésio, cloreto de magnésio, vitamina C, sulfato ferroso, vitamina E, sulfato de zinco, niacina, vitamina A, sulfato de manganês, pantotenato de cálcio, gluconato de cobre, vitamina D,  vitamina B1, vitamina B6, vitamina B2, ácido fólico, iodeto de potássio.</w:t>
            </w:r>
          </w:p>
        </w:tc>
        <w:tc>
          <w:tcPr>
            <w:tcW w:w="2464" w:type="dxa"/>
            <w:vAlign w:val="center"/>
          </w:tcPr>
          <w:p>
            <w:pPr>
              <w:pStyle w:val="56"/>
              <w:numPr>
                <w:ilvl w:val="1"/>
                <w:numId w:val="0"/>
              </w:numPr>
              <w:spacing w:after="288" w:afterLines="120" w:line="312" w:lineRule="auto"/>
              <w:jc w:val="center"/>
              <w:rPr>
                <w:rFonts w:hint="default"/>
                <w:color w:val="auto"/>
                <w:sz w:val="20"/>
                <w:szCs w:val="20"/>
                <w:vertAlign w:val="baseline"/>
                <w:lang w:val="pt-BR"/>
              </w:rPr>
            </w:pPr>
            <w:r>
              <w:rPr>
                <w:rFonts w:hint="default"/>
                <w:color w:val="auto"/>
                <w:sz w:val="20"/>
                <w:szCs w:val="20"/>
                <w:vertAlign w:val="baseline"/>
                <w:lang w:val="pt-BR"/>
              </w:rPr>
              <w:t>LITROS</w:t>
            </w:r>
          </w:p>
        </w:tc>
        <w:tc>
          <w:tcPr>
            <w:tcW w:w="2464" w:type="dxa"/>
            <w:vAlign w:val="center"/>
          </w:tcPr>
          <w:p>
            <w:pPr>
              <w:pStyle w:val="56"/>
              <w:numPr>
                <w:ilvl w:val="1"/>
                <w:numId w:val="0"/>
              </w:numPr>
              <w:spacing w:after="288" w:afterLines="120" w:line="312" w:lineRule="auto"/>
              <w:jc w:val="center"/>
              <w:rPr>
                <w:rFonts w:hint="default"/>
                <w:color w:val="auto"/>
                <w:sz w:val="20"/>
                <w:szCs w:val="20"/>
                <w:vertAlign w:val="baseline"/>
                <w:lang w:val="pt-BR"/>
              </w:rPr>
            </w:pPr>
            <w:r>
              <w:rPr>
                <w:rFonts w:hint="default"/>
                <w:color w:val="auto"/>
                <w:sz w:val="20"/>
                <w:szCs w:val="20"/>
                <w:vertAlign w:val="baseline"/>
                <w:lang w:val="pt-BR"/>
              </w:rPr>
              <w:t>NESTLE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tcPr>
          <w:p>
            <w:pPr>
              <w:pStyle w:val="56"/>
              <w:numPr>
                <w:ilvl w:val="1"/>
                <w:numId w:val="0"/>
              </w:numPr>
              <w:spacing w:after="288" w:afterLines="120" w:line="312" w:lineRule="auto"/>
              <w:jc w:val="center"/>
              <w:rPr>
                <w:rFonts w:hint="default"/>
                <w:color w:val="auto"/>
                <w:sz w:val="20"/>
                <w:szCs w:val="20"/>
                <w:vertAlign w:val="baseline"/>
                <w:lang w:val="pt-BR"/>
              </w:rPr>
            </w:pPr>
            <w:r>
              <w:rPr>
                <w:rFonts w:hint="default"/>
                <w:color w:val="auto"/>
                <w:sz w:val="20"/>
                <w:szCs w:val="20"/>
                <w:vertAlign w:val="baseline"/>
                <w:lang w:val="pt-BR"/>
              </w:rPr>
              <w:t>2</w:t>
            </w:r>
          </w:p>
        </w:tc>
        <w:tc>
          <w:tcPr>
            <w:tcW w:w="33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0"/>
                <w:szCs w:val="20"/>
                <w:lang w:val="pt-BR"/>
              </w:rPr>
            </w:pPr>
            <w:r>
              <w:rPr>
                <w:rFonts w:hint="default" w:ascii="Arial" w:hAnsi="Arial" w:cs="Arial"/>
                <w:sz w:val="20"/>
                <w:szCs w:val="20"/>
              </w:rPr>
              <w:t>Neospoon -  exigência de obrigatoriedade da marca por ser produto  para cumprir demanda judicial -mistura para dietas com restrição de proteinas integras hidrolisadas a base de minoácidos livres</w:t>
            </w:r>
            <w:r>
              <w:rPr>
                <w:rFonts w:hint="default" w:ascii="Arial" w:hAnsi="Arial" w:cs="Arial"/>
                <w:sz w:val="20"/>
                <w:szCs w:val="20"/>
                <w:lang w:val="pt-B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20"/>
                <w:szCs w:val="20"/>
                <w:lang w:val="pt-BR" w:eastAsia="pt-BR" w:bidi="ar-SA"/>
              </w:rPr>
            </w:pPr>
          </w:p>
        </w:tc>
        <w:tc>
          <w:tcPr>
            <w:tcW w:w="2464" w:type="dxa"/>
          </w:tcPr>
          <w:p>
            <w:pPr>
              <w:pStyle w:val="56"/>
              <w:numPr>
                <w:ilvl w:val="1"/>
                <w:numId w:val="0"/>
              </w:numPr>
              <w:spacing w:after="288" w:afterLines="120" w:line="312" w:lineRule="auto"/>
              <w:jc w:val="center"/>
              <w:rPr>
                <w:rFonts w:hint="default"/>
                <w:color w:val="auto"/>
                <w:sz w:val="20"/>
                <w:szCs w:val="20"/>
                <w:vertAlign w:val="baseline"/>
                <w:lang w:val="pt-BR"/>
              </w:rPr>
            </w:pPr>
            <w:r>
              <w:rPr>
                <w:rFonts w:hint="default"/>
                <w:color w:val="auto"/>
                <w:sz w:val="20"/>
                <w:szCs w:val="20"/>
                <w:vertAlign w:val="baseline"/>
                <w:lang w:val="pt-BR"/>
              </w:rPr>
              <w:t>LATAS</w:t>
            </w:r>
          </w:p>
        </w:tc>
        <w:tc>
          <w:tcPr>
            <w:tcW w:w="2464" w:type="dxa"/>
          </w:tcPr>
          <w:p>
            <w:pPr>
              <w:pStyle w:val="56"/>
              <w:numPr>
                <w:ilvl w:val="1"/>
                <w:numId w:val="0"/>
              </w:numPr>
              <w:spacing w:after="288" w:afterLines="120" w:line="312" w:lineRule="auto"/>
              <w:jc w:val="center"/>
              <w:rPr>
                <w:rFonts w:hint="default"/>
                <w:color w:val="auto"/>
                <w:sz w:val="20"/>
                <w:szCs w:val="20"/>
                <w:vertAlign w:val="baseline"/>
                <w:lang w:val="pt-BR"/>
              </w:rPr>
            </w:pPr>
            <w:r>
              <w:rPr>
                <w:rFonts w:hint="default"/>
                <w:color w:val="auto"/>
                <w:sz w:val="20"/>
                <w:szCs w:val="20"/>
                <w:vertAlign w:val="baseline"/>
                <w:lang w:val="pt-BR"/>
              </w:rPr>
              <w:t>DANONE</w:t>
            </w:r>
          </w:p>
        </w:tc>
      </w:tr>
    </w:tbl>
    <w:p>
      <w:pPr>
        <w:pStyle w:val="56"/>
        <w:numPr>
          <w:ilvl w:val="1"/>
          <w:numId w:val="0"/>
        </w:numPr>
        <w:spacing w:after="288" w:afterLines="120" w:line="312" w:lineRule="auto"/>
        <w:ind w:left="709" w:leftChars="0"/>
        <w:rPr>
          <w:color w:val="auto"/>
          <w:sz w:val="24"/>
          <w:szCs w:val="24"/>
          <w:highlight w:val="none"/>
        </w:rPr>
      </w:pPr>
    </w:p>
    <w:p>
      <w:pPr>
        <w:pStyle w:val="109"/>
        <w:spacing w:before="120" w:after="288" w:afterLines="120" w:line="312" w:lineRule="auto"/>
        <w:rPr>
          <w:color w:val="auto"/>
          <w:sz w:val="24"/>
          <w:szCs w:val="24"/>
          <w:highlight w:val="none"/>
        </w:rPr>
      </w:pPr>
      <w:r>
        <w:rPr>
          <w:color w:val="auto"/>
          <w:sz w:val="24"/>
          <w:szCs w:val="24"/>
          <w:highlight w:val="none"/>
        </w:rPr>
        <w:t>Garantia da contratação</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Não haverá exigência da garantia da contratação dos </w:t>
      </w:r>
      <w:r>
        <w:rPr>
          <w:highlight w:val="none"/>
        </w:rPr>
        <w:fldChar w:fldCharType="begin"/>
      </w:r>
      <w:r>
        <w:rPr>
          <w:highlight w:val="none"/>
        </w:rPr>
        <w:instrText xml:space="preserve"> HYPERLINK "http://www.planalto.gov.br/ccivil_03/_ato2019-2022/2021/lei/L14133.htm" \l "art96" </w:instrText>
      </w:r>
      <w:r>
        <w:rPr>
          <w:highlight w:val="none"/>
        </w:rPr>
        <w:fldChar w:fldCharType="separate"/>
      </w:r>
      <w:r>
        <w:rPr>
          <w:rStyle w:val="13"/>
          <w:i w:val="0"/>
          <w:iCs w:val="0"/>
          <w:color w:val="auto"/>
          <w:sz w:val="24"/>
          <w:szCs w:val="24"/>
          <w:highlight w:val="none"/>
        </w:rPr>
        <w:t>artigos 96 e seguintes da Lei nº 14.133, de 2021</w:t>
      </w:r>
      <w:r>
        <w:rPr>
          <w:rStyle w:val="13"/>
          <w:i w:val="0"/>
          <w:iCs w:val="0"/>
          <w:color w:val="auto"/>
          <w:sz w:val="24"/>
          <w:szCs w:val="24"/>
          <w:highlight w:val="none"/>
        </w:rPr>
        <w:fldChar w:fldCharType="end"/>
      </w:r>
      <w:r>
        <w:rPr>
          <w:i w:val="0"/>
          <w:iCs w:val="0"/>
          <w:color w:val="auto"/>
          <w:sz w:val="24"/>
          <w:szCs w:val="24"/>
          <w:highlight w:val="none"/>
        </w:rPr>
        <w:t>, pelas razões constantes do Estudo Técnico Preliminar.</w:t>
      </w:r>
    </w:p>
    <w:p>
      <w:pPr>
        <w:pStyle w:val="39"/>
        <w:spacing w:before="120" w:after="288" w:afterLines="120" w:line="312" w:lineRule="auto"/>
        <w:rPr>
          <w:sz w:val="24"/>
          <w:szCs w:val="24"/>
        </w:rPr>
      </w:pPr>
      <w:r>
        <w:rPr>
          <w:sz w:val="24"/>
          <w:szCs w:val="24"/>
        </w:rPr>
        <w:t>MODELO DE EXECUÇÃO DO OBJETO</w:t>
      </w:r>
    </w:p>
    <w:p>
      <w:pPr>
        <w:pStyle w:val="109"/>
        <w:spacing w:before="120" w:after="288" w:afterLines="120" w:line="312"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Condições de Entrega</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O prazo de entrega dos bens é de 0</w:t>
      </w:r>
      <w:r>
        <w:rPr>
          <w:rFonts w:hint="default"/>
          <w:i w:val="0"/>
          <w:iCs w:val="0"/>
          <w:color w:val="auto"/>
          <w:sz w:val="24"/>
          <w:szCs w:val="24"/>
          <w:highlight w:val="none"/>
          <w:lang w:val="pt-BR"/>
        </w:rPr>
        <w:t>5</w:t>
      </w:r>
      <w:r>
        <w:rPr>
          <w:rFonts w:hint="default"/>
          <w:i w:val="0"/>
          <w:iCs w:val="0"/>
          <w:color w:val="auto"/>
          <w:sz w:val="24"/>
          <w:szCs w:val="24"/>
          <w:highlight w:val="none"/>
        </w:rPr>
        <w:t xml:space="preserve"> (</w:t>
      </w:r>
      <w:r>
        <w:rPr>
          <w:rFonts w:hint="default"/>
          <w:i w:val="0"/>
          <w:iCs w:val="0"/>
          <w:color w:val="auto"/>
          <w:sz w:val="24"/>
          <w:szCs w:val="24"/>
          <w:highlight w:val="none"/>
          <w:lang w:val="pt-BR"/>
        </w:rPr>
        <w:t>cinco</w:t>
      </w:r>
      <w:r>
        <w:rPr>
          <w:rFonts w:hint="default"/>
          <w:i w:val="0"/>
          <w:iCs w:val="0"/>
          <w:color w:val="auto"/>
          <w:sz w:val="24"/>
          <w:szCs w:val="24"/>
          <w:highlight w:val="none"/>
        </w:rPr>
        <w:t xml:space="preserve">) </w:t>
      </w:r>
      <w:r>
        <w:rPr>
          <w:rFonts w:hint="default"/>
          <w:i w:val="0"/>
          <w:iCs w:val="0"/>
          <w:color w:val="auto"/>
          <w:sz w:val="24"/>
          <w:szCs w:val="24"/>
          <w:highlight w:val="none"/>
          <w:lang w:val="pt-BR"/>
        </w:rPr>
        <w:t xml:space="preserve">úteis </w:t>
      </w:r>
      <w:r>
        <w:rPr>
          <w:rFonts w:hint="default"/>
          <w:i w:val="0"/>
          <w:iCs w:val="0"/>
          <w:color w:val="auto"/>
          <w:sz w:val="24"/>
          <w:szCs w:val="24"/>
          <w:highlight w:val="none"/>
        </w:rPr>
        <w:t xml:space="preserve">dias, contados do(a) a partir do recebimento da ordem de compra, de forma parcelada. </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 xml:space="preserve"> Os produtos deverão ser entregues com 1/3 da validade transcorrido, sob pena de devolução.</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Caso não seja possível a entrega na data assinalada, a empresa deverá comunicar as razões respectivas com pelo menos 0</w:t>
      </w:r>
      <w:r>
        <w:rPr>
          <w:rFonts w:hint="default"/>
          <w:i w:val="0"/>
          <w:iCs w:val="0"/>
          <w:color w:val="auto"/>
          <w:sz w:val="24"/>
          <w:szCs w:val="24"/>
          <w:highlight w:val="none"/>
          <w:lang w:val="pt-BR"/>
        </w:rPr>
        <w:t>5</w:t>
      </w:r>
      <w:r>
        <w:rPr>
          <w:rFonts w:hint="default"/>
          <w:i w:val="0"/>
          <w:iCs w:val="0"/>
          <w:color w:val="auto"/>
          <w:sz w:val="24"/>
          <w:szCs w:val="24"/>
          <w:highlight w:val="none"/>
        </w:rPr>
        <w:t xml:space="preserve"> (</w:t>
      </w:r>
      <w:r>
        <w:rPr>
          <w:rFonts w:hint="default"/>
          <w:i w:val="0"/>
          <w:iCs w:val="0"/>
          <w:color w:val="auto"/>
          <w:sz w:val="24"/>
          <w:szCs w:val="24"/>
          <w:highlight w:val="none"/>
          <w:lang w:val="pt-BR"/>
        </w:rPr>
        <w:t>cinco</w:t>
      </w:r>
      <w:r>
        <w:rPr>
          <w:rFonts w:hint="default"/>
          <w:i w:val="0"/>
          <w:iCs w:val="0"/>
          <w:color w:val="auto"/>
          <w:sz w:val="24"/>
          <w:szCs w:val="24"/>
          <w:highlight w:val="none"/>
        </w:rPr>
        <w:t>) dias de antecedência para que qualquer pleito de prorrogação de prazo seja analisado, ressalvadas situações de caso fortuito e força maior.</w:t>
      </w:r>
    </w:p>
    <w:p>
      <w:pPr>
        <w:pStyle w:val="103"/>
        <w:spacing w:after="288" w:afterLines="120" w:line="312" w:lineRule="auto"/>
        <w:ind w:firstLine="709"/>
        <w:rPr>
          <w:sz w:val="24"/>
          <w:szCs w:val="24"/>
          <w:highlight w:val="yellow"/>
        </w:rPr>
      </w:pPr>
      <w:r>
        <w:rPr>
          <w:rFonts w:hint="default"/>
          <w:i w:val="0"/>
          <w:iCs w:val="0"/>
          <w:color w:val="auto"/>
          <w:sz w:val="24"/>
          <w:szCs w:val="24"/>
          <w:highlight w:val="none"/>
        </w:rPr>
        <w:t>Os bens deverão ser entregues no seguinte endereço: Farmácia de Minas  - Rua: Francisca da silva Campos, n° 60, Bairro: Belvedere, Arcos/MG.</w:t>
      </w:r>
    </w:p>
    <w:p>
      <w:pPr>
        <w:pStyle w:val="39"/>
        <w:spacing w:before="120" w:after="288" w:afterLines="120" w:line="312" w:lineRule="auto"/>
        <w:rPr>
          <w:sz w:val="24"/>
          <w:szCs w:val="24"/>
        </w:rPr>
      </w:pPr>
      <w:r>
        <w:rPr>
          <w:sz w:val="24"/>
          <w:szCs w:val="24"/>
        </w:rPr>
        <w:t>GESTÃO DO CONTRATO</w:t>
      </w:r>
      <w:r>
        <w:rPr>
          <w:rFonts w:hint="default"/>
          <w:sz w:val="24"/>
          <w:szCs w:val="24"/>
          <w:lang w:val="pt-BR"/>
        </w:rPr>
        <w:t>/EMPENHO</w:t>
      </w:r>
    </w:p>
    <w:p>
      <w:pPr>
        <w:pStyle w:val="56"/>
        <w:spacing w:after="288"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firstLine="709"/>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firstLine="709"/>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firstLine="709"/>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firstLine="709"/>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firstLine="709"/>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xml:space="preserve">), sendo indicado para a presente contratação </w:t>
      </w:r>
      <w:r>
        <w:rPr>
          <w:rFonts w:hint="default"/>
          <w:sz w:val="24"/>
          <w:szCs w:val="24"/>
          <w:lang w:val="pt-BR"/>
        </w:rPr>
        <w:t xml:space="preserve">a </w:t>
      </w:r>
      <w:r>
        <w:rPr>
          <w:sz w:val="24"/>
          <w:szCs w:val="24"/>
        </w:rPr>
        <w:t>servidor</w:t>
      </w:r>
      <w:r>
        <w:rPr>
          <w:rFonts w:hint="default"/>
          <w:sz w:val="24"/>
          <w:szCs w:val="24"/>
          <w:lang w:val="pt-BR"/>
        </w:rPr>
        <w:t>a Sr. Amanda Rilsa MASP:</w:t>
      </w:r>
      <w:r>
        <w:rPr>
          <w:rFonts w:hint="default" w:ascii="Arial" w:hAnsi="Arial" w:cs="Arial"/>
          <w:i w:val="0"/>
          <w:iCs w:val="0"/>
          <w:color w:val="000000"/>
          <w:sz w:val="24"/>
          <w:szCs w:val="24"/>
          <w:u w:val="none"/>
          <w:vertAlign w:val="baseline"/>
          <w:lang w:val="pt-BR"/>
        </w:rPr>
        <w:t>158374/3</w:t>
      </w:r>
      <w:r>
        <w:rPr>
          <w:rFonts w:hint="default"/>
          <w:sz w:val="24"/>
          <w:szCs w:val="24"/>
          <w:lang w:val="pt-BR"/>
        </w:rPr>
        <w:t xml:space="preserve"> p</w:t>
      </w:r>
      <w:r>
        <w:rPr>
          <w:sz w:val="24"/>
          <w:szCs w:val="24"/>
        </w:rPr>
        <w:t>ara atuar como fiscal do contrato e o servidor</w:t>
      </w:r>
      <w:permStart w:id="0" w:edGrp="everyone"/>
      <w:r>
        <w:rPr>
          <w:rFonts w:hint="default"/>
          <w:sz w:val="24"/>
          <w:szCs w:val="24"/>
          <w:lang w:val="pt-BR"/>
        </w:rPr>
        <w:t xml:space="preserve"> Tiago Carvalho de Oliveira MASP:</w:t>
      </w:r>
      <w:r>
        <w:rPr>
          <w:rFonts w:hint="default" w:ascii="Arial" w:hAnsi="Arial" w:cs="Arial"/>
          <w:i w:val="0"/>
          <w:iCs w:val="0"/>
          <w:color w:val="000000"/>
          <w:sz w:val="24"/>
          <w:szCs w:val="24"/>
          <w:u w:val="none"/>
          <w:vertAlign w:val="baseline"/>
          <w:lang w:val="pt-BR"/>
        </w:rPr>
        <w:t>5987/0</w:t>
      </w:r>
      <w:r>
        <w:rPr>
          <w:sz w:val="24"/>
          <w:szCs w:val="24"/>
        </w:rPr>
        <w:t xml:space="preserve"> </w:t>
      </w:r>
      <w:permEnd w:id="0"/>
      <w:r>
        <w:rPr>
          <w:sz w:val="24"/>
          <w:szCs w:val="24"/>
        </w:rPr>
        <w:t>para atuar como gestor do contrato.</w:t>
      </w:r>
    </w:p>
    <w:p>
      <w:pPr>
        <w:pStyle w:val="56"/>
        <w:spacing w:after="288"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firstLine="709"/>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firstLine="709"/>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 Objeto</w:t>
      </w:r>
    </w:p>
    <w:p>
      <w:pPr>
        <w:pStyle w:val="56"/>
        <w:spacing w:after="288" w:afterLines="120" w:line="312" w:lineRule="auto"/>
        <w:ind w:firstLine="709"/>
        <w:rPr>
          <w:sz w:val="24"/>
          <w:szCs w:val="24"/>
          <w:lang w:eastAsia="en-US"/>
        </w:rPr>
      </w:pPr>
      <w:r>
        <w:rPr>
          <w:sz w:val="24"/>
          <w:szCs w:val="24"/>
          <w:lang w:eastAsia="en-US"/>
        </w:rPr>
        <w:t xml:space="preserve">Os bens serão recebidos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rFonts w:hint="default"/>
          <w:sz w:val="24"/>
          <w:szCs w:val="24"/>
          <w:lang w:val="pt-BR" w:eastAsia="en-US"/>
        </w:rPr>
        <w:t xml:space="preserve"> </w:t>
      </w:r>
      <w:r>
        <w:rPr>
          <w:sz w:val="24"/>
          <w:szCs w:val="24"/>
          <w:lang w:eastAsia="en-US"/>
        </w:rPr>
        <w:t>e na proposta.</w:t>
      </w:r>
    </w:p>
    <w:p>
      <w:pPr>
        <w:pStyle w:val="56"/>
        <w:spacing w:after="288" w:afterLines="120" w:line="312" w:lineRule="auto"/>
        <w:ind w:firstLine="709"/>
        <w:rPr>
          <w:sz w:val="24"/>
          <w:szCs w:val="24"/>
          <w:lang w:eastAsia="en-US"/>
        </w:rPr>
      </w:pPr>
      <w:r>
        <w:rPr>
          <w:sz w:val="24"/>
          <w:szCs w:val="24"/>
          <w:lang w:eastAsia="en-US"/>
        </w:rPr>
        <w:t>Os itens poderão ser rejeitados, no todo ou em parte, quando em desacordo com as especificações constantes no Termo de Referência</w:t>
      </w:r>
      <w:r>
        <w:rPr>
          <w:rFonts w:hint="default"/>
          <w:sz w:val="24"/>
          <w:szCs w:val="24"/>
          <w:lang w:val="pt-BR" w:eastAsia="en-US"/>
        </w:rPr>
        <w:t xml:space="preserve"> </w:t>
      </w:r>
      <w:r>
        <w:rPr>
          <w:sz w:val="24"/>
          <w:szCs w:val="24"/>
          <w:lang w:eastAsia="en-US"/>
        </w:rPr>
        <w:t xml:space="preserve">e na proposta, devendo ser substituídos no prazo </w:t>
      </w:r>
      <w:r>
        <w:rPr>
          <w:color w:val="auto"/>
          <w:sz w:val="24"/>
          <w:szCs w:val="24"/>
          <w:lang w:eastAsia="en-US"/>
        </w:rPr>
        <w:t>de</w:t>
      </w:r>
      <w:r>
        <w:rPr>
          <w:rFonts w:hint="default"/>
          <w:color w:val="auto"/>
          <w:sz w:val="24"/>
          <w:szCs w:val="24"/>
          <w:lang w:val="pt-BR" w:eastAsia="en-US"/>
        </w:rPr>
        <w:t xml:space="preserve"> 03 (três)</w:t>
      </w:r>
      <w:r>
        <w:rPr>
          <w:color w:val="auto"/>
          <w:sz w:val="24"/>
          <w:szCs w:val="24"/>
          <w:lang w:eastAsia="en-US"/>
        </w:rPr>
        <w:t xml:space="preserve"> dias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spacing w:after="288" w:afterLines="120" w:line="312" w:lineRule="auto"/>
        <w:ind w:firstLine="709"/>
        <w:rPr>
          <w:sz w:val="24"/>
          <w:szCs w:val="24"/>
          <w:lang w:eastAsia="en-US"/>
        </w:rPr>
      </w:pPr>
      <w:r>
        <w:rPr>
          <w:sz w:val="24"/>
          <w:szCs w:val="24"/>
          <w:lang w:eastAsia="en-US"/>
        </w:rPr>
        <w:t>O recebimento provisório ou definitivo não excluirá a responsabilidade civil pela solidez e pela segurança do serviço nem a responsabilidade ético-profissional pela perfeita execução do contrato.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firstLine="709"/>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A nota fiscal deverá conter lote e prazo de validade dos produtos, ou outras informações que a legislação assim dispuser.</w:t>
      </w:r>
    </w:p>
    <w:p>
      <w:pPr>
        <w:pStyle w:val="56"/>
        <w:spacing w:after="288" w:afterLines="120" w:line="312" w:lineRule="auto"/>
        <w:ind w:firstLine="709"/>
        <w:rPr>
          <w:sz w:val="24"/>
          <w:szCs w:val="24"/>
          <w:lang w:eastAsia="en-US"/>
        </w:rPr>
      </w:pPr>
      <w:r>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firstLine="709"/>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firstLine="709"/>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firstLine="709"/>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firstLine="709"/>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firstLine="709"/>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firstLine="709"/>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firstLine="709"/>
        <w:rPr>
          <w:sz w:val="24"/>
          <w:szCs w:val="24"/>
        </w:rPr>
      </w:pPr>
      <w:r>
        <w:rPr>
          <w:rFonts w:eastAsia="Arial"/>
          <w:sz w:val="24"/>
          <w:szCs w:val="24"/>
        </w:rPr>
        <w:t>O fornecedor será selecionado por meio da realização de procedimento de LICITAÇÃO, na modalidade</w:t>
      </w:r>
      <w:r>
        <w:rPr>
          <w:rFonts w:hint="default" w:eastAsia="Arial"/>
          <w:sz w:val="24"/>
          <w:szCs w:val="24"/>
          <w:lang w:val="pt-BR"/>
        </w:rPr>
        <w:t xml:space="preserve"> Pregão: Registro de Preços</w:t>
      </w:r>
      <w:r>
        <w:rPr>
          <w:rFonts w:eastAsia="Arial"/>
          <w:sz w:val="24"/>
          <w:szCs w:val="24"/>
        </w:rPr>
        <w:t xml:space="preserve">, sob a forma ELETRÔNICA, com adoção do critério de julgamento pelo </w:t>
      </w:r>
      <w:r>
        <w:rPr>
          <w:rFonts w:hint="default" w:eastAsia="Arial"/>
          <w:sz w:val="24"/>
          <w:szCs w:val="24"/>
          <w:lang w:val="pt-BR"/>
        </w:rPr>
        <w:t xml:space="preserve">menor preço por item. </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firstLine="709"/>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firstLine="709"/>
        <w:rPr>
          <w:sz w:val="24"/>
          <w:szCs w:val="24"/>
          <w:highlight w:val="none"/>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w:t>
      </w:r>
      <w:r>
        <w:rPr>
          <w:sz w:val="24"/>
          <w:szCs w:val="24"/>
          <w:highlight w:val="none"/>
        </w:rPr>
        <w:t>documento comprobatório de seus administradores;</w:t>
      </w:r>
    </w:p>
    <w:p>
      <w:pPr>
        <w:pStyle w:val="56"/>
        <w:spacing w:after="288" w:afterLines="120" w:line="312" w:lineRule="auto"/>
        <w:ind w:firstLine="709"/>
        <w:rPr>
          <w:sz w:val="24"/>
          <w:szCs w:val="24"/>
          <w:highlight w:val="none"/>
        </w:rPr>
      </w:pPr>
      <w:r>
        <w:rPr>
          <w:b/>
          <w:bCs/>
          <w:sz w:val="24"/>
          <w:szCs w:val="24"/>
          <w:highlight w:val="none"/>
        </w:rPr>
        <w:t>Sociedade empresária estrangeira:</w:t>
      </w:r>
      <w:r>
        <w:rPr>
          <w:sz w:val="24"/>
          <w:szCs w:val="24"/>
          <w:highlight w:val="none"/>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56"/>
        <w:spacing w:after="288" w:afterLines="120" w:line="312" w:lineRule="auto"/>
        <w:ind w:firstLine="709"/>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pPr>
        <w:pStyle w:val="56"/>
        <w:spacing w:after="288" w:afterLines="120" w:line="312" w:lineRule="auto"/>
        <w:ind w:firstLine="709"/>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w:instrText>
      </w:r>
      <w:r>
        <w:fldChar w:fldCharType="separate"/>
      </w:r>
      <w:r>
        <w:rPr>
          <w:rStyle w:val="13"/>
          <w:sz w:val="24"/>
          <w:szCs w:val="24"/>
        </w:rPr>
        <w:t>art. 107 da Lei nº 5.764, de 16 de dezembro 1971</w:t>
      </w:r>
      <w:r>
        <w:rPr>
          <w:rStyle w:val="13"/>
          <w:sz w:val="24"/>
          <w:szCs w:val="24"/>
        </w:rPr>
        <w:fldChar w:fldCharType="end"/>
      </w:r>
      <w:r>
        <w:rPr>
          <w:sz w:val="24"/>
          <w:szCs w:val="24"/>
        </w:rPr>
        <w:t>.</w:t>
      </w:r>
    </w:p>
    <w:p>
      <w:pPr>
        <w:pStyle w:val="56"/>
        <w:spacing w:after="288" w:afterLines="120" w:line="312" w:lineRule="auto"/>
        <w:ind w:firstLine="709"/>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firstLine="709"/>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firstLine="709"/>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firstLine="709"/>
        <w:rPr>
          <w:sz w:val="24"/>
          <w:szCs w:val="24"/>
        </w:rPr>
      </w:pPr>
      <w:r>
        <w:rPr>
          <w:sz w:val="24"/>
          <w:szCs w:val="24"/>
        </w:rPr>
        <w:t>Prova de regularidade com o Fundo de Garantia do Tempo de Serviço (FGTS);</w:t>
      </w:r>
    </w:p>
    <w:p>
      <w:pPr>
        <w:pStyle w:val="56"/>
        <w:spacing w:after="288" w:afterLines="120" w:line="312" w:lineRule="auto"/>
        <w:ind w:firstLine="709"/>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firstLine="709"/>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firstLine="709"/>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firstLine="709"/>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firstLine="709"/>
        <w:rPr>
          <w:sz w:val="24"/>
          <w:szCs w:val="24"/>
        </w:rPr>
      </w:pPr>
      <w:r>
        <w:rPr>
          <w:sz w:val="24"/>
          <w:szCs w:val="24"/>
        </w:rPr>
        <w:t>Balanço patrimonial, demonstração de resultado de exercício e demais demonstrações contábeis relativosao último exercício</w:t>
      </w:r>
      <w:r>
        <w:rPr>
          <w:rFonts w:hint="default"/>
          <w:sz w:val="24"/>
          <w:szCs w:val="24"/>
          <w:lang w:val="pt-BR"/>
        </w:rPr>
        <w:t xml:space="preserve"> </w:t>
      </w:r>
      <w:r>
        <w:rPr>
          <w:sz w:val="24"/>
          <w:szCs w:val="24"/>
          <w:highlight w:val="yellow"/>
        </w:rPr>
        <w:t>2022.</w:t>
      </w:r>
      <w:r>
        <w:rPr>
          <w:sz w:val="24"/>
          <w:szCs w:val="24"/>
        </w:rPr>
        <w:t xml:space="preserve"> (Lei nº 14.133, de 2021, art. 69, §6º).</w:t>
      </w:r>
    </w:p>
    <w:p>
      <w:pPr>
        <w:pStyle w:val="56"/>
        <w:spacing w:after="288" w:afterLines="120" w:line="312" w:lineRule="auto"/>
        <w:ind w:firstLine="709"/>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firstLine="709"/>
        <w:rPr>
          <w:rFonts w:hint="default"/>
          <w:i w:val="0"/>
          <w:iCs w:val="0"/>
          <w:color w:val="auto"/>
          <w:sz w:val="24"/>
          <w:szCs w:val="24"/>
          <w:lang w:eastAsia="zh-CN"/>
        </w:rPr>
      </w:pPr>
      <w:r>
        <w:rPr>
          <w:rFonts w:hint="default"/>
          <w:b/>
          <w:bCs/>
          <w:i w:val="0"/>
          <w:iCs w:val="0"/>
          <w:color w:val="auto"/>
          <w:sz w:val="24"/>
          <w:szCs w:val="24"/>
          <w:lang w:eastAsia="zh-CN"/>
        </w:rPr>
        <w:t>Alvará sanitário</w:t>
      </w:r>
      <w:r>
        <w:rPr>
          <w:rFonts w:hint="default"/>
          <w:i w:val="0"/>
          <w:iCs w:val="0"/>
          <w:color w:val="auto"/>
          <w:sz w:val="24"/>
          <w:szCs w:val="24"/>
          <w:lang w:eastAsia="zh-CN"/>
        </w:rPr>
        <w:t xml:space="preserve"> (Licença Sanitária) da empresa licitante, expedido pela Vigilância Sanitária Estadual ou Municipal;</w:t>
      </w:r>
    </w:p>
    <w:p>
      <w:pPr>
        <w:pStyle w:val="103"/>
        <w:spacing w:after="288" w:afterLines="120" w:line="312" w:lineRule="auto"/>
        <w:ind w:firstLine="709"/>
        <w:rPr>
          <w:rFonts w:hint="default"/>
          <w:i w:val="0"/>
          <w:iCs w:val="0"/>
          <w:color w:val="auto"/>
          <w:sz w:val="24"/>
          <w:szCs w:val="24"/>
          <w:lang w:eastAsia="zh-CN"/>
        </w:rPr>
      </w:pPr>
      <w:r>
        <w:rPr>
          <w:rFonts w:hint="default"/>
          <w:b/>
          <w:bCs/>
          <w:i w:val="0"/>
          <w:iCs w:val="0"/>
          <w:color w:val="auto"/>
          <w:sz w:val="24"/>
          <w:szCs w:val="24"/>
          <w:lang w:eastAsia="zh-CN"/>
        </w:rPr>
        <w:t>Autorização de Funcionamento (AFE)</w:t>
      </w:r>
      <w:r>
        <w:rPr>
          <w:rFonts w:hint="default"/>
          <w:i w:val="0"/>
          <w:iCs w:val="0"/>
          <w:color w:val="auto"/>
          <w:sz w:val="24"/>
          <w:szCs w:val="24"/>
          <w:lang w:eastAsia="zh-CN"/>
        </w:rPr>
        <w:t>: ato de competência da Agência Nacional de Vigilância Sanitária, contendo autorização para o funcionamento de empresas ou estabelecimentos, instituições e órgãos, concedido mediante o cumprimento dos requisitos técnicos e administrativos constantes desta Resolução</w:t>
      </w:r>
    </w:p>
    <w:p>
      <w:pPr>
        <w:pStyle w:val="103"/>
        <w:spacing w:after="288" w:afterLines="120" w:line="312" w:lineRule="auto"/>
        <w:ind w:firstLine="709"/>
        <w:rPr>
          <w:rFonts w:hint="default"/>
          <w:i w:val="0"/>
          <w:iCs w:val="0"/>
          <w:color w:val="auto"/>
          <w:sz w:val="24"/>
          <w:szCs w:val="24"/>
          <w:lang w:eastAsia="zh-CN"/>
        </w:rPr>
      </w:pPr>
      <w:r>
        <w:rPr>
          <w:rFonts w:hint="default"/>
          <w:b/>
          <w:bCs/>
          <w:i w:val="0"/>
          <w:iCs w:val="0"/>
          <w:color w:val="auto"/>
          <w:sz w:val="24"/>
          <w:szCs w:val="24"/>
          <w:lang w:eastAsia="zh-CN"/>
        </w:rPr>
        <w:t>Autorização Especial (AE):</w:t>
      </w:r>
      <w:r>
        <w:rPr>
          <w:rFonts w:hint="default"/>
          <w:i w:val="0"/>
          <w:iCs w:val="0"/>
          <w:color w:val="auto"/>
          <w:sz w:val="24"/>
          <w:szCs w:val="24"/>
          <w:lang w:eastAsia="zh-CN"/>
        </w:rPr>
        <w:t xml:space="preserve"> ato de competência da Agência Nacional de Vigilância Sanitária que autoriza o exercício de atividades que envolvem insumos farmacêuticos, medicamentos e substâncias sujeitas a controle especial, bem como o cultivo de plantas que possam originar substâncias sujeitas a controle especial, mediante comprovação de requisitos técnicos e administrativos específicos, constantes desta Resolução;</w:t>
      </w:r>
    </w:p>
    <w:p>
      <w:pPr>
        <w:pStyle w:val="103"/>
        <w:spacing w:after="288" w:afterLines="120" w:line="312" w:lineRule="auto"/>
        <w:ind w:firstLine="709"/>
        <w:rPr>
          <w:rFonts w:hint="default"/>
          <w:i w:val="0"/>
          <w:iCs w:val="0"/>
          <w:color w:val="auto"/>
          <w:sz w:val="24"/>
          <w:szCs w:val="24"/>
          <w:lang w:eastAsia="zh-CN"/>
        </w:rPr>
      </w:pPr>
      <w:r>
        <w:rPr>
          <w:rFonts w:hint="default"/>
          <w:b/>
          <w:bCs/>
          <w:i w:val="0"/>
          <w:iCs w:val="0"/>
          <w:color w:val="auto"/>
          <w:sz w:val="24"/>
          <w:szCs w:val="24"/>
          <w:lang w:eastAsia="zh-CN"/>
        </w:rPr>
        <w:t>Certificado de Responsabilidade técnica nutricionista</w:t>
      </w:r>
      <w:r>
        <w:rPr>
          <w:rFonts w:hint="default"/>
          <w:i w:val="0"/>
          <w:iCs w:val="0"/>
          <w:color w:val="auto"/>
          <w:sz w:val="24"/>
          <w:szCs w:val="24"/>
          <w:lang w:eastAsia="zh-CN"/>
        </w:rPr>
        <w:t>, emitio pelo seu respectivo Conselho Regional , com prazo de validade em vigor, na data de abertura dos envelopes, conforme exigência da Lei Federal nº 3.820/60 (art. 24);</w:t>
      </w:r>
      <w:r>
        <w:rPr>
          <w:rFonts w:hint="default"/>
          <w:i w:val="0"/>
          <w:iCs w:val="0"/>
          <w:color w:val="auto"/>
          <w:sz w:val="24"/>
          <w:szCs w:val="24"/>
          <w:lang w:val="pt-BR" w:eastAsia="zh-CN"/>
        </w:rPr>
        <w:t xml:space="preserve"> (Para Dietas)</w:t>
      </w:r>
    </w:p>
    <w:p>
      <w:pPr>
        <w:pStyle w:val="103"/>
        <w:spacing w:after="288" w:afterLines="120" w:line="312" w:lineRule="auto"/>
        <w:ind w:firstLine="709"/>
        <w:rPr>
          <w:rFonts w:hint="default"/>
          <w:i w:val="0"/>
          <w:iCs w:val="0"/>
          <w:color w:val="auto"/>
          <w:sz w:val="24"/>
          <w:szCs w:val="24"/>
          <w:lang w:eastAsia="zh-CN"/>
        </w:rPr>
      </w:pPr>
      <w:r>
        <w:rPr>
          <w:rFonts w:hint="default"/>
          <w:i w:val="0"/>
          <w:iCs w:val="0"/>
          <w:color w:val="auto"/>
          <w:sz w:val="24"/>
          <w:szCs w:val="24"/>
          <w:lang w:eastAsia="zh-CN"/>
        </w:rPr>
        <w:t>Comprovação de aptidão para o fornecimento de bens/serviços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3"/>
        <w:spacing w:after="288" w:afterLines="120" w:line="312" w:lineRule="auto"/>
        <w:ind w:firstLine="709"/>
        <w:rPr>
          <w:rFonts w:hint="default"/>
          <w:i w:val="0"/>
          <w:iCs w:val="0"/>
          <w:color w:val="auto"/>
          <w:sz w:val="24"/>
          <w:szCs w:val="24"/>
          <w:lang w:eastAsia="zh-CN"/>
        </w:rPr>
      </w:pPr>
      <w:r>
        <w:rPr>
          <w:rFonts w:hint="default"/>
          <w:i w:val="0"/>
          <w:iCs w:val="0"/>
          <w:color w:val="auto"/>
          <w:sz w:val="24"/>
          <w:szCs w:val="24"/>
          <w:lang w:eastAsia="zh-CN"/>
        </w:rPr>
        <w:t>Será admitida, para fins de comprovação de quantitativo mínimo, a apresentação e o somatório de diferentes atestados executados de forma concomitante.</w:t>
      </w:r>
    </w:p>
    <w:p>
      <w:pPr>
        <w:pStyle w:val="103"/>
        <w:spacing w:after="288" w:afterLines="120" w:line="312" w:lineRule="auto"/>
        <w:ind w:firstLine="709"/>
        <w:rPr>
          <w:rFonts w:hint="default"/>
          <w:i w:val="0"/>
          <w:iCs w:val="0"/>
          <w:color w:val="auto"/>
          <w:sz w:val="24"/>
          <w:szCs w:val="24"/>
          <w:lang w:eastAsia="zh-CN"/>
        </w:rPr>
      </w:pPr>
      <w:r>
        <w:rPr>
          <w:rFonts w:hint="default"/>
          <w:i w:val="0"/>
          <w:iCs w:val="0"/>
          <w:color w:val="auto"/>
          <w:sz w:val="24"/>
          <w:szCs w:val="24"/>
          <w:lang w:eastAsia="zh-CN"/>
        </w:rPr>
        <w:t>Os atestados de capacidade técnica poderão ser apresentados em nome da matriz ou da filial do fornecedor.</w:t>
      </w:r>
    </w:p>
    <w:p>
      <w:pPr>
        <w:pStyle w:val="103"/>
        <w:spacing w:after="288" w:afterLines="120" w:line="312" w:lineRule="auto"/>
        <w:ind w:firstLine="709"/>
        <w:rPr>
          <w:rFonts w:hint="default"/>
          <w:i w:val="0"/>
          <w:iCs w:val="0"/>
          <w:color w:val="auto"/>
          <w:sz w:val="24"/>
          <w:szCs w:val="24"/>
          <w:lang w:eastAsia="zh-CN"/>
        </w:rPr>
      </w:pPr>
      <w:r>
        <w:rPr>
          <w:rFonts w:hint="default"/>
          <w:i w:val="0"/>
          <w:iCs w:val="0"/>
          <w:color w:val="auto"/>
          <w:sz w:val="24"/>
          <w:szCs w:val="24"/>
          <w:lang w:eastAsia="zh-CN"/>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firstLine="709"/>
        <w:rPr>
          <w:b/>
          <w:bCs/>
          <w:i w:val="0"/>
          <w:iCs w:val="0"/>
          <w:color w:val="auto"/>
          <w:sz w:val="24"/>
          <w:szCs w:val="24"/>
          <w:highlight w:val="none"/>
        </w:rPr>
      </w:pPr>
      <w:permStart w:id="1" w:edGrp="everyone"/>
      <w:r>
        <w:rPr>
          <w:rFonts w:hint="default"/>
          <w:i w:val="0"/>
          <w:iCs w:val="0"/>
          <w:color w:val="auto"/>
          <w:sz w:val="24"/>
          <w:szCs w:val="24"/>
          <w:highlight w:val="none"/>
        </w:rPr>
        <w:t>O custo estimado total da contratação está na tabela encaminhada pelo departamento de Suprimentos em anexo.</w:t>
      </w:r>
    </w:p>
    <w:permEnd w:id="1"/>
    <w:p>
      <w:pPr>
        <w:pStyle w:val="103"/>
        <w:spacing w:after="288" w:afterLines="120" w:line="312" w:lineRule="auto"/>
        <w:ind w:firstLine="709"/>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firstLine="709"/>
        <w:rPr>
          <w:sz w:val="24"/>
          <w:szCs w:val="24"/>
        </w:rPr>
      </w:pPr>
      <w:r>
        <w:rPr>
          <w:rFonts w:eastAsia="Arial"/>
          <w:sz w:val="24"/>
          <w:szCs w:val="24"/>
        </w:rPr>
        <w:t>As despesas decorrentes da presente contratação correrão à conta de recursos específicos consignados no Orçamento Geral do Município.</w:t>
      </w:r>
    </w:p>
    <w:p>
      <w:pPr>
        <w:pStyle w:val="56"/>
        <w:numPr>
          <w:ilvl w:val="0"/>
          <w:numId w:val="0"/>
        </w:numPr>
        <w:spacing w:after="288" w:afterLines="120" w:line="312" w:lineRule="auto"/>
        <w:rPr>
          <w:i/>
          <w:iCs/>
          <w:color w:val="FF0000"/>
          <w:sz w:val="24"/>
          <w:szCs w:val="24"/>
        </w:rPr>
      </w:pPr>
    </w:p>
    <w:p>
      <w:pPr>
        <w:pStyle w:val="56"/>
        <w:numPr>
          <w:ilvl w:val="0"/>
          <w:numId w:val="0"/>
        </w:numPr>
        <w:spacing w:afterLines="120" w:line="312" w:lineRule="auto"/>
        <w:jc w:val="right"/>
        <w:rPr>
          <w:rFonts w:hint="default"/>
          <w:color w:val="auto"/>
          <w:sz w:val="24"/>
          <w:szCs w:val="24"/>
          <w:highlight w:val="none"/>
          <w:lang w:val="pt-BR"/>
        </w:rPr>
      </w:pPr>
      <w:r>
        <w:rPr>
          <w:color w:val="auto"/>
          <w:sz w:val="24"/>
          <w:szCs w:val="24"/>
          <w:highlight w:val="yellow"/>
        </w:rPr>
        <w:t>[</w:t>
      </w:r>
      <w:permStart w:id="2" w:edGrp="everyone"/>
      <w:r>
        <w:rPr>
          <w:rFonts w:hint="default"/>
          <w:color w:val="auto"/>
          <w:sz w:val="24"/>
          <w:szCs w:val="24"/>
          <w:highlight w:val="none"/>
          <w:lang w:val="pt-BR"/>
        </w:rPr>
        <w:t>Arcos/MG, 04 de Dezembro de 2023</w:t>
      </w:r>
    </w:p>
    <w:p>
      <w:pPr>
        <w:pStyle w:val="56"/>
        <w:numPr>
          <w:ilvl w:val="0"/>
          <w:numId w:val="0"/>
        </w:numPr>
        <w:spacing w:afterLines="120" w:line="312" w:lineRule="auto"/>
        <w:jc w:val="right"/>
        <w:rPr>
          <w:rFonts w:hint="default"/>
          <w:color w:val="auto"/>
          <w:sz w:val="24"/>
          <w:szCs w:val="24"/>
          <w:highlight w:val="none"/>
          <w:lang w:val="pt-BR"/>
        </w:rPr>
      </w:pPr>
      <w:bookmarkStart w:id="1" w:name="_GoBack"/>
      <w:bookmarkEnd w:id="1"/>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jc w:val="center"/>
        <w:textAlignment w:val="auto"/>
        <w:rPr>
          <w:rFonts w:hint="default"/>
          <w:b/>
          <w:bCs/>
          <w:color w:val="auto"/>
          <w:sz w:val="24"/>
          <w:szCs w:val="24"/>
          <w:highlight w:val="none"/>
          <w:lang w:val="pt-BR"/>
        </w:rPr>
      </w:pPr>
      <w:r>
        <w:rPr>
          <w:rFonts w:hint="default"/>
          <w:b/>
          <w:bCs/>
          <w:color w:val="auto"/>
          <w:sz w:val="24"/>
          <w:szCs w:val="24"/>
          <w:highlight w:val="none"/>
          <w:lang w:val="pt-BR"/>
        </w:rPr>
        <w:t>Tiago Carvalho de Oliveira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jc w:val="center"/>
        <w:textAlignment w:val="auto"/>
        <w:rPr>
          <w:rFonts w:ascii="Arial" w:hAnsi="Arial" w:cs="Arial"/>
          <w:highlight w:val="none"/>
        </w:rPr>
      </w:pPr>
      <w:r>
        <w:rPr>
          <w:rFonts w:hint="default"/>
          <w:color w:val="auto"/>
          <w:sz w:val="24"/>
          <w:szCs w:val="24"/>
          <w:highlight w:val="none"/>
          <w:lang w:val="pt-BR"/>
        </w:rPr>
        <w:t>Secretário Municipal de Saúde</w:t>
      </w:r>
      <w:r>
        <w:rPr>
          <w:rFonts w:ascii="Arial" w:hAnsi="Arial" w:eastAsia="Arial" w:cs="Arial"/>
          <w:highlight w:val="none"/>
        </w:rPr>
        <w:t>l</w:t>
      </w:r>
      <w:permEnd w:id="2"/>
    </w:p>
    <w:p>
      <w:pPr>
        <w:pStyle w:val="56"/>
        <w:numPr>
          <w:ilvl w:val="0"/>
          <w:numId w:val="0"/>
        </w:numPr>
        <w:spacing w:after="288" w:afterLines="120" w:line="312" w:lineRule="auto"/>
        <w:rPr>
          <w:sz w:val="24"/>
          <w:szCs w:val="24"/>
        </w:rPr>
      </w:pPr>
    </w:p>
    <w:bookmarkEnd w:id="0"/>
    <w:p>
      <w:pPr>
        <w:spacing w:before="120" w:after="288" w:afterLines="120" w:line="312" w:lineRule="auto"/>
        <w:ind w:left="360"/>
        <w:jc w:val="center"/>
        <w:rPr>
          <w:rFonts w:ascii="Arial" w:hAnsi="Arial" w:cs="Arial"/>
        </w:rPr>
      </w:pPr>
    </w:p>
    <w:sectPr>
      <w:headerReference r:id="rId3" w:type="default"/>
      <w:footerReference r:id="rId4"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Segoe Print"/>
    <w:panose1 w:val="02020603050405020304"/>
    <w:charset w:val="01"/>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CA52D74"/>
    <w:rsid w:val="1D38DAFD"/>
    <w:rsid w:val="21D19061"/>
    <w:rsid w:val="21E662A0"/>
    <w:rsid w:val="225CA34E"/>
    <w:rsid w:val="23272055"/>
    <w:rsid w:val="242F06C7"/>
    <w:rsid w:val="24DF3391"/>
    <w:rsid w:val="2657C157"/>
    <w:rsid w:val="26789B7A"/>
    <w:rsid w:val="27D707DD"/>
    <w:rsid w:val="29B3559A"/>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9A2B53"/>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9CA7D61"/>
    <w:rsid w:val="6B89711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 w:val="7DAD1B67"/>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41C99-BA1C-408F-8BE9-FD886FF1D685}">
  <ds:schemaRefs/>
</ds:datastoreItem>
</file>

<file path=customXml/itemProps2.xml><?xml version="1.0" encoding="utf-8"?>
<ds:datastoreItem xmlns:ds="http://schemas.openxmlformats.org/officeDocument/2006/customXml" ds:itemID="{0CBD3A4D-46FC-4C9D-A646-0B0B22B0418A}">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A1465CDB-1419-435A-AC24-1D47985E0D45}">
  <ds:schemaRefs/>
</ds:datastoreItem>
</file>

<file path=customXml/itemProps5.xml><?xml version="1.0" encoding="utf-8"?>
<ds:datastoreItem xmlns:ds="http://schemas.openxmlformats.org/officeDocument/2006/customXml" ds:itemID="{2B11408A-6D5C-4CA6-95AE-BDB1C00B1E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18</TotalTime>
  <ScaleCrop>false</ScaleCrop>
  <LinksUpToDate>false</LinksUpToDate>
  <CharactersWithSpaces>30501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mandrade</cp:lastModifiedBy>
  <cp:lastPrinted>2023-12-04T17:30:47Z</cp:lastPrinted>
  <dcterms:modified xsi:type="dcterms:W3CDTF">2023-12-04T17:33:20Z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1046-11.2.0.11516</vt:lpwstr>
  </property>
  <property fmtid="{D5CDD505-2E9C-101B-9397-08002B2CF9AE}" pid="5" name="ICV">
    <vt:lpwstr>410FB708B7DF40B2B7C391FD2667E73B_13</vt:lpwstr>
  </property>
</Properties>
</file>