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rPr>
      </w:pPr>
      <w:bookmarkStart w:id="0" w:name="_Hlk82471863"/>
      <w:r>
        <w:rPr>
          <w:rFonts w:ascii="Arial" w:hAnsi="Arial" w:eastAsia="Times New Roman" w:cs="Arial"/>
          <w:b/>
          <w:iCs/>
        </w:rPr>
        <w:t>TERMO DE REFERÊNCIA</w:t>
      </w:r>
    </w:p>
    <w:p>
      <w:pPr>
        <w:jc w:val="center"/>
        <w:rPr>
          <w:rFonts w:hint="default" w:ascii="Arial" w:hAnsi="Arial" w:eastAsia="Times New Roman" w:cs="Arial"/>
          <w:b/>
          <w:iCs/>
          <w:lang w:val="pt-BR"/>
        </w:rPr>
      </w:pPr>
      <w:r>
        <w:rPr>
          <w:rFonts w:hint="default" w:ascii="Arial" w:hAnsi="Arial" w:eastAsia="Times New Roman" w:cs="Arial"/>
          <w:b/>
          <w:iCs/>
          <w:lang w:val="pt-BR"/>
        </w:rPr>
        <w:t>N° 137/2024</w:t>
      </w:r>
    </w:p>
    <w:p>
      <w:pPr>
        <w:jc w:val="center"/>
        <w:rPr>
          <w:rFonts w:hint="default" w:ascii="Arial" w:hAnsi="Arial" w:eastAsia="Times New Roman" w:cs="Arial"/>
          <w:b/>
          <w:iCs/>
          <w:lang w:val="pt-BR"/>
        </w:rPr>
      </w:pPr>
      <w:r>
        <w:rPr>
          <w:rFonts w:hint="default" w:ascii="Arial" w:hAnsi="Arial" w:eastAsia="Times New Roman" w:cs="Arial"/>
          <w:b/>
          <w:iCs/>
          <w:lang w:val="pt-BR"/>
        </w:rPr>
        <w:t>PREGÃO COMUM</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firstLine="709"/>
        <w:rPr>
          <w:b/>
          <w:bCs/>
          <w:sz w:val="24"/>
          <w:szCs w:val="24"/>
        </w:rPr>
      </w:pPr>
      <w:r>
        <w:rPr>
          <w:rFonts w:hint="default"/>
          <w:sz w:val="24"/>
          <w:szCs w:val="24"/>
          <w:highlight w:val="none"/>
          <w:lang w:val="pt-BR"/>
        </w:rPr>
        <w:t>Contratação de Sistema de comunicação, arquivamento e visualização de imagens médicas na nuvem (PAC’s)</w:t>
      </w:r>
      <w:r>
        <w:rPr>
          <w:b/>
          <w:bCs/>
          <w:sz w:val="24"/>
          <w:szCs w:val="24"/>
          <w:highlight w:val="none"/>
        </w:rPr>
        <w:t>,</w:t>
      </w:r>
      <w:r>
        <w:rPr>
          <w:rFonts w:hint="default"/>
          <w:b/>
          <w:bCs/>
          <w:sz w:val="24"/>
          <w:szCs w:val="24"/>
          <w:highlight w:val="none"/>
          <w:lang w:val="pt-BR"/>
        </w:rPr>
        <w:t xml:space="preserve"> </w:t>
      </w:r>
      <w:r>
        <w:rPr>
          <w:rFonts w:hint="default"/>
          <w:b w:val="0"/>
          <w:bCs w:val="0"/>
          <w:sz w:val="24"/>
          <w:szCs w:val="24"/>
          <w:highlight w:val="none"/>
          <w:lang w:val="pt-BR"/>
        </w:rPr>
        <w:t>para atendimento das demandas da Secretaria Municipal de Saúde,</w:t>
      </w:r>
      <w:r>
        <w:rPr>
          <w:b w:val="0"/>
          <w:bCs w:val="0"/>
          <w:sz w:val="24"/>
          <w:szCs w:val="24"/>
          <w:highlight w:val="none"/>
        </w:rPr>
        <w:t xml:space="preserve"> </w:t>
      </w:r>
      <w:r>
        <w:rPr>
          <w:b w:val="0"/>
          <w:bCs w:val="0"/>
          <w:sz w:val="24"/>
          <w:szCs w:val="24"/>
        </w:rPr>
        <w:t>nos termos d</w:t>
      </w:r>
      <w:r>
        <w:rPr>
          <w:sz w:val="24"/>
          <w:szCs w:val="24"/>
        </w:rPr>
        <w:t>a tabela abaixo, conforme condições e exigências estabelecidas neste instrumento.</w:t>
      </w: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2"/>
        <w:gridCol w:w="3730"/>
        <w:gridCol w:w="1289"/>
        <w:gridCol w:w="999"/>
        <w:gridCol w:w="1546"/>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0" w:type="auto"/>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hint="default" w:ascii="Arial" w:hAnsi="Arial" w:eastAsia="Arial" w:cs="Arial"/>
                <w:b/>
                <w:bCs/>
                <w:color w:val="auto"/>
                <w:sz w:val="22"/>
                <w:szCs w:val="22"/>
                <w:lang w:val="pt-BR"/>
              </w:rPr>
            </w:pPr>
            <w:r>
              <w:rPr>
                <w:rFonts w:hint="default" w:ascii="Arial" w:hAnsi="Arial" w:eastAsia="Arial" w:cs="Arial"/>
                <w:b/>
                <w:bCs/>
                <w:color w:val="auto"/>
                <w:sz w:val="22"/>
                <w:szCs w:val="22"/>
                <w:lang w:val="pt-BR"/>
              </w:rPr>
              <w:t>LOTE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auto"/>
                <w:sz w:val="22"/>
                <w:szCs w:val="22"/>
              </w:rPr>
            </w:pPr>
            <w:r>
              <w:rPr>
                <w:rFonts w:ascii="Arial" w:hAnsi="Arial" w:eastAsia="Arial" w:cs="Arial"/>
                <w:b/>
                <w:bCs/>
                <w:color w:val="auto"/>
                <w:sz w:val="22"/>
                <w:szCs w:val="22"/>
              </w:rPr>
              <w:t>ITEM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auto"/>
                <w:sz w:val="22"/>
                <w:szCs w:val="22"/>
              </w:rPr>
            </w:pPr>
            <w:r>
              <w:rPr>
                <w:rFonts w:ascii="Arial" w:hAnsi="Arial" w:eastAsia="Arial" w:cs="Arial"/>
                <w:b/>
                <w:bCs/>
                <w:color w:val="auto"/>
                <w:sz w:val="22"/>
                <w:szCs w:val="22"/>
              </w:rPr>
              <w:t>ESPECIFICAÇÃO</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auto"/>
                <w:sz w:val="22"/>
                <w:szCs w:val="22"/>
              </w:rPr>
            </w:pPr>
            <w:r>
              <w:rPr>
                <w:rFonts w:ascii="Arial" w:hAnsi="Arial" w:eastAsia="Arial" w:cs="Arial"/>
                <w:b/>
                <w:bCs/>
                <w:color w:val="auto"/>
                <w:sz w:val="22"/>
                <w:szCs w:val="22"/>
              </w:rPr>
              <w:t>UN</w:t>
            </w:r>
            <w:r>
              <w:rPr>
                <w:rFonts w:hint="default" w:ascii="Arial" w:hAnsi="Arial" w:eastAsia="Arial" w:cs="Arial"/>
                <w:b/>
                <w:bCs/>
                <w:color w:val="auto"/>
                <w:sz w:val="22"/>
                <w:szCs w:val="22"/>
                <w:lang w:val="pt-BR"/>
              </w:rPr>
              <w:t xml:space="preserve">. </w:t>
            </w:r>
            <w:r>
              <w:rPr>
                <w:rFonts w:ascii="Arial" w:hAnsi="Arial" w:eastAsia="Arial" w:cs="Arial"/>
                <w:b/>
                <w:bCs/>
                <w:color w:val="auto"/>
                <w:sz w:val="22"/>
                <w:szCs w:val="22"/>
              </w:rPr>
              <w:t>DE MEDIDA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auto"/>
                <w:sz w:val="22"/>
                <w:szCs w:val="22"/>
              </w:rPr>
            </w:pPr>
            <w:r>
              <w:rPr>
                <w:rFonts w:ascii="Arial" w:hAnsi="Arial" w:eastAsia="Arial" w:cs="Arial"/>
                <w:b/>
                <w:bCs/>
                <w:color w:val="auto"/>
                <w:sz w:val="22"/>
                <w:szCs w:val="22"/>
              </w:rPr>
              <w:t>QUANT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left"/>
              <w:rPr>
                <w:rFonts w:ascii="Arial" w:hAnsi="Arial" w:eastAsia="Arial" w:cs="Arial"/>
                <w:b/>
                <w:bCs/>
                <w:color w:val="auto"/>
                <w:sz w:val="22"/>
                <w:szCs w:val="22"/>
              </w:rPr>
            </w:pPr>
            <w:r>
              <w:rPr>
                <w:rFonts w:ascii="Arial" w:hAnsi="Arial" w:eastAsia="Arial" w:cs="Arial"/>
                <w:b/>
                <w:bCs/>
                <w:color w:val="auto"/>
                <w:sz w:val="22"/>
                <w:szCs w:val="22"/>
              </w:rPr>
              <w:t>VALOR UNITÁRIO</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auto"/>
                <w:sz w:val="22"/>
                <w:szCs w:val="22"/>
              </w:rPr>
            </w:pPr>
            <w:r>
              <w:rPr>
                <w:rFonts w:ascii="Arial" w:hAnsi="Arial" w:eastAsia="Arial" w:cs="Arial"/>
                <w:b/>
                <w:bCs/>
                <w:color w:val="auto"/>
                <w:sz w:val="22"/>
                <w:szCs w:val="22"/>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numPr>
                <w:ilvl w:val="0"/>
                <w:numId w:val="4"/>
              </w:numPr>
              <w:suppressAutoHyphens/>
              <w:spacing w:before="120" w:after="288" w:afterLines="120" w:line="312" w:lineRule="auto"/>
              <w:ind w:left="425" w:leftChars="0" w:hanging="425" w:firstLineChars="0"/>
              <w:jc w:val="center"/>
              <w:rPr>
                <w:rFonts w:ascii="Arial" w:hAnsi="Arial" w:eastAsia="Arial" w:cs="Arial"/>
                <w:b/>
                <w:bCs/>
                <w:color w:val="auto"/>
                <w:sz w:val="22"/>
                <w:szCs w:val="22"/>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eastAsiaTheme="minorEastAsia"/>
                <w:color w:val="auto"/>
                <w:sz w:val="22"/>
                <w:szCs w:val="22"/>
                <w:lang w:val="pt-BR" w:eastAsia="pt-BR"/>
              </w:rPr>
            </w:pPr>
            <w:r>
              <w:rPr>
                <w:rFonts w:hint="default" w:ascii="Arial" w:hAnsi="Arial" w:eastAsiaTheme="minorEastAsia"/>
                <w:color w:val="auto"/>
                <w:sz w:val="22"/>
                <w:szCs w:val="22"/>
                <w:lang w:val="pt-BR" w:eastAsia="pt-BR"/>
              </w:rPr>
              <w:t>Sistema de comunicação, arquivamento e visualização de imagens</w:t>
            </w:r>
            <w:r>
              <w:rPr>
                <w:rFonts w:hint="default" w:ascii="Arial" w:hAnsi="Arial"/>
                <w:color w:val="auto"/>
                <w:sz w:val="22"/>
                <w:szCs w:val="22"/>
                <w:lang w:val="en-US" w:eastAsia="pt-BR"/>
              </w:rPr>
              <w:t xml:space="preserve"> </w:t>
            </w:r>
            <w:r>
              <w:rPr>
                <w:rFonts w:hint="default" w:ascii="Arial" w:hAnsi="Arial" w:eastAsiaTheme="minorEastAsia"/>
                <w:color w:val="auto"/>
                <w:sz w:val="22"/>
                <w:szCs w:val="22"/>
                <w:lang w:val="pt-BR" w:eastAsia="pt-BR"/>
              </w:rPr>
              <w:t>médicas na nuvem.</w:t>
            </w:r>
          </w:p>
          <w:p>
            <w:pPr>
              <w:spacing w:after="0" w:line="360" w:lineRule="auto"/>
              <w:jc w:val="both"/>
              <w:rPr>
                <w:rFonts w:hint="default" w:ascii="Arial" w:hAnsi="Arial"/>
                <w:color w:val="auto"/>
                <w:sz w:val="22"/>
                <w:szCs w:val="22"/>
                <w:lang w:val="en-US" w:eastAsia="pt-BR"/>
              </w:rPr>
            </w:pPr>
            <w:r>
              <w:rPr>
                <w:rFonts w:hint="default" w:ascii="Arial" w:hAnsi="Arial"/>
                <w:color w:val="auto"/>
                <w:sz w:val="22"/>
                <w:szCs w:val="22"/>
                <w:lang w:val="en-US" w:eastAsia="pt-BR"/>
              </w:rPr>
              <w:t>A</w:t>
            </w:r>
            <w:r>
              <w:rPr>
                <w:rFonts w:hint="default" w:ascii="Arial" w:hAnsi="Arial" w:eastAsiaTheme="minorEastAsia"/>
                <w:color w:val="auto"/>
                <w:sz w:val="22"/>
                <w:szCs w:val="22"/>
                <w:lang w:val="pt-BR" w:eastAsia="pt-BR"/>
              </w:rPr>
              <w:t>rmazena</w:t>
            </w:r>
            <w:r>
              <w:rPr>
                <w:rFonts w:hint="default" w:ascii="Arial" w:hAnsi="Arial"/>
                <w:color w:val="auto"/>
                <w:sz w:val="22"/>
                <w:szCs w:val="22"/>
                <w:lang w:val="en-US" w:eastAsia="pt-BR"/>
              </w:rPr>
              <w:t>mento de no mínimo</w:t>
            </w:r>
            <w:r>
              <w:rPr>
                <w:rFonts w:hint="default" w:ascii="Arial" w:hAnsi="Arial" w:eastAsiaTheme="minorEastAsia"/>
                <w:color w:val="auto"/>
                <w:sz w:val="22"/>
                <w:szCs w:val="22"/>
                <w:lang w:val="pt-BR" w:eastAsia="pt-BR"/>
              </w:rPr>
              <w:t xml:space="preserve"> 2500 exames CR, DR, DX, MG </w:t>
            </w:r>
            <w:r>
              <w:rPr>
                <w:rFonts w:hint="default" w:ascii="Arial" w:hAnsi="Arial"/>
                <w:color w:val="auto"/>
                <w:sz w:val="22"/>
                <w:szCs w:val="22"/>
                <w:lang w:val="en-US" w:eastAsia="pt-BR"/>
              </w:rPr>
              <w:t>mensais.</w:t>
            </w:r>
          </w:p>
          <w:p>
            <w:pPr>
              <w:spacing w:after="0" w:line="360" w:lineRule="auto"/>
              <w:jc w:val="both"/>
              <w:rPr>
                <w:rFonts w:hint="default" w:ascii="Arial" w:hAnsi="Arial" w:eastAsiaTheme="minorEastAsia"/>
                <w:color w:val="auto"/>
                <w:sz w:val="22"/>
                <w:szCs w:val="22"/>
                <w:lang w:val="pt-BR" w:eastAsia="pt-BR"/>
              </w:rPr>
            </w:pPr>
            <w:r>
              <w:rPr>
                <w:rFonts w:hint="default" w:ascii="Arial" w:hAnsi="Arial"/>
                <w:color w:val="auto"/>
                <w:sz w:val="22"/>
                <w:szCs w:val="22"/>
                <w:lang w:val="en-US" w:eastAsia="pt-BR"/>
              </w:rPr>
              <w:t>(2500 * 12 = 30.000 exames anuais)</w:t>
            </w:r>
            <w:r>
              <w:rPr>
                <w:rFonts w:hint="default" w:ascii="Arial" w:hAnsi="Arial" w:eastAsiaTheme="minorEastAsia"/>
                <w:color w:val="auto"/>
                <w:sz w:val="22"/>
                <w:szCs w:val="22"/>
                <w:lang w:val="pt-BR" w:eastAsia="pt-BR"/>
              </w:rPr>
              <w:t xml:space="preserve"> </w:t>
            </w:r>
          </w:p>
          <w:p>
            <w:pPr>
              <w:spacing w:after="0" w:line="360" w:lineRule="auto"/>
              <w:jc w:val="both"/>
              <w:rPr>
                <w:rFonts w:hint="default" w:ascii="Arial" w:hAnsi="Arial" w:eastAsiaTheme="minorEastAsia"/>
                <w:color w:val="auto"/>
                <w:sz w:val="22"/>
                <w:szCs w:val="22"/>
                <w:lang w:val="en-US" w:eastAsia="pt-BR"/>
              </w:rPr>
            </w:pPr>
            <w:r>
              <w:rPr>
                <w:rFonts w:hint="default" w:ascii="Arial" w:hAnsi="Arial" w:eastAsiaTheme="minorEastAsia"/>
                <w:color w:val="auto"/>
                <w:sz w:val="22"/>
                <w:szCs w:val="22"/>
                <w:lang w:val="pt-BR" w:eastAsia="pt-BR"/>
              </w:rPr>
              <w:t>Registro Anvisa</w:t>
            </w:r>
            <w:r>
              <w:rPr>
                <w:rFonts w:hint="default" w:ascii="Arial" w:hAnsi="Arial"/>
                <w:color w:val="auto"/>
                <w:sz w:val="22"/>
                <w:szCs w:val="22"/>
                <w:lang w:val="en-US" w:eastAsia="pt-BR"/>
              </w:rPr>
              <w: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ind w:left="0" w:leftChars="0" w:firstLine="0" w:firstLineChars="0"/>
              <w:jc w:val="both"/>
              <w:rPr>
                <w:rFonts w:hint="default" w:ascii="Arial" w:hAnsi="Arial" w:cs="Arial" w:eastAsiaTheme="minorEastAsia"/>
                <w:color w:val="auto"/>
                <w:sz w:val="22"/>
                <w:szCs w:val="22"/>
                <w:lang w:val="en-US" w:eastAsia="pt-BR" w:bidi="ar-SA"/>
              </w:rPr>
            </w:pPr>
            <w:r>
              <w:rPr>
                <w:rFonts w:hint="default" w:ascii="Arial" w:hAnsi="Arial" w:cs="Arial"/>
                <w:color w:val="auto"/>
                <w:sz w:val="22"/>
                <w:szCs w:val="22"/>
                <w:lang w:val="en-US" w:eastAsia="pt-BR" w:bidi="ar-SA"/>
              </w:rPr>
              <w:t>Mensal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cs="Arial" w:eastAsiaTheme="minorEastAsia"/>
                <w:color w:val="auto"/>
                <w:sz w:val="22"/>
                <w:szCs w:val="22"/>
                <w:lang w:val="en-US" w:eastAsia="pt-BR" w:bidi="ar-SA"/>
              </w:rPr>
            </w:pPr>
            <w:r>
              <w:rPr>
                <w:rFonts w:hint="default" w:ascii="Arial" w:hAnsi="Arial" w:cs="Arial"/>
                <w:color w:val="auto"/>
                <w:sz w:val="22"/>
                <w:szCs w:val="22"/>
                <w:lang w:val="en-US" w:eastAsia="pt-BR" w:bidi="ar-SA"/>
              </w:rPr>
              <w:t>06</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uppressAutoHyphens/>
              <w:spacing w:before="120" w:after="288" w:afterLines="120" w:line="312" w:lineRule="auto"/>
              <w:jc w:val="both"/>
              <w:rPr>
                <w:rFonts w:hint="default" w:ascii="Arial" w:hAnsi="Arial" w:eastAsia="Arial" w:cs="Arial"/>
                <w:color w:val="auto"/>
                <w:sz w:val="22"/>
                <w:szCs w:val="22"/>
                <w:lang w:val="pt-BR"/>
              </w:rPr>
            </w:pPr>
            <w:r>
              <w:rPr>
                <w:rFonts w:hint="default" w:ascii="Arial" w:hAnsi="Arial" w:eastAsia="Arial" w:cs="Arial"/>
                <w:color w:val="auto"/>
                <w:sz w:val="22"/>
                <w:szCs w:val="22"/>
                <w:lang w:val="pt-BR"/>
              </w:rPr>
              <w:t>R$ 4500,00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uppressAutoHyphens/>
              <w:spacing w:before="120" w:after="288" w:afterLines="120" w:line="312" w:lineRule="auto"/>
              <w:jc w:val="both"/>
              <w:rPr>
                <w:rFonts w:hint="default" w:ascii="Arial" w:hAnsi="Arial" w:eastAsia="Arial" w:cs="Arial"/>
                <w:color w:val="auto"/>
                <w:sz w:val="22"/>
                <w:szCs w:val="22"/>
                <w:lang w:val="pt-BR" w:eastAsia="pt-BR" w:bidi="ar-SA"/>
              </w:rPr>
            </w:pPr>
            <w:r>
              <w:rPr>
                <w:rFonts w:hint="default" w:ascii="Arial" w:hAnsi="Arial" w:eastAsia="Arial" w:cs="Arial"/>
                <w:color w:val="auto"/>
                <w:sz w:val="22"/>
                <w:szCs w:val="22"/>
                <w:lang w:val="pt-BR"/>
              </w:rPr>
              <w:t>R$ 54000,00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numPr>
                <w:ilvl w:val="0"/>
                <w:numId w:val="4"/>
              </w:numPr>
              <w:suppressAutoHyphens/>
              <w:spacing w:before="120" w:after="288" w:afterLines="120" w:line="312" w:lineRule="auto"/>
              <w:ind w:left="425" w:leftChars="0" w:hanging="425" w:firstLineChars="0"/>
              <w:jc w:val="center"/>
              <w:rPr>
                <w:rFonts w:ascii="Arial" w:hAnsi="Arial" w:eastAsia="Arial" w:cs="Arial"/>
                <w:b/>
                <w:bCs/>
                <w:color w:val="auto"/>
                <w:sz w:val="22"/>
                <w:szCs w:val="22"/>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eastAsiaTheme="minorEastAsia"/>
                <w:color w:val="auto"/>
                <w:sz w:val="22"/>
                <w:szCs w:val="22"/>
                <w:lang w:val="pt-BR" w:eastAsia="pt-BR"/>
              </w:rPr>
            </w:pPr>
            <w:r>
              <w:rPr>
                <w:rFonts w:hint="default" w:ascii="Arial" w:hAnsi="Arial" w:eastAsiaTheme="minorEastAsia"/>
                <w:color w:val="auto"/>
                <w:sz w:val="22"/>
                <w:szCs w:val="22"/>
                <w:lang w:val="pt-BR" w:eastAsia="pt-BR"/>
              </w:rPr>
              <w:t xml:space="preserve">Exames excedentes CR,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ind w:left="0" w:leftChars="0" w:firstLine="0" w:firstLineChars="0"/>
              <w:jc w:val="both"/>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Und.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100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uppressAutoHyphens/>
              <w:spacing w:before="120" w:after="288" w:afterLines="120" w:line="312" w:lineRule="auto"/>
              <w:jc w:val="both"/>
              <w:rPr>
                <w:rFonts w:hint="default" w:ascii="Arial" w:hAnsi="Arial" w:eastAsia="Arial" w:cs="Arial"/>
                <w:color w:val="auto"/>
                <w:sz w:val="22"/>
                <w:szCs w:val="22"/>
                <w:lang w:val="pt-BR"/>
              </w:rPr>
            </w:pPr>
            <w:r>
              <w:rPr>
                <w:rFonts w:hint="default" w:ascii="Arial" w:hAnsi="Arial" w:eastAsia="Arial" w:cs="Arial"/>
                <w:color w:val="auto"/>
                <w:sz w:val="22"/>
                <w:szCs w:val="22"/>
                <w:lang w:val="pt-BR"/>
              </w:rPr>
              <w:t>R$ 1,60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hint="default" w:ascii="Arial" w:hAnsi="Arial" w:eastAsia="Arial" w:cs="Arial"/>
                <w:color w:val="auto"/>
                <w:sz w:val="22"/>
                <w:szCs w:val="22"/>
                <w:lang w:val="pt-BR"/>
              </w:rPr>
            </w:pPr>
            <w:r>
              <w:rPr>
                <w:rFonts w:hint="default" w:ascii="Arial" w:hAnsi="Arial" w:eastAsia="Arial" w:cs="Arial"/>
                <w:color w:val="auto"/>
                <w:sz w:val="22"/>
                <w:szCs w:val="22"/>
                <w:lang w:val="pt-BR"/>
              </w:rPr>
              <w:t>R$ 160,00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numPr>
                <w:ilvl w:val="0"/>
                <w:numId w:val="4"/>
              </w:numPr>
              <w:suppressAutoHyphens/>
              <w:spacing w:before="120" w:after="288" w:afterLines="120" w:line="312" w:lineRule="auto"/>
              <w:ind w:left="425" w:leftChars="0" w:hanging="425" w:firstLineChars="0"/>
              <w:jc w:val="center"/>
              <w:rPr>
                <w:rFonts w:ascii="Arial" w:hAnsi="Arial" w:eastAsia="Arial" w:cs="Arial"/>
                <w:b/>
                <w:bCs/>
                <w:color w:val="auto"/>
                <w:sz w:val="22"/>
                <w:szCs w:val="22"/>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eastAsiaTheme="minorEastAsia"/>
                <w:color w:val="auto"/>
                <w:sz w:val="22"/>
                <w:szCs w:val="22"/>
                <w:lang w:val="pt-BR" w:eastAsia="pt-BR"/>
              </w:rPr>
            </w:pPr>
            <w:r>
              <w:rPr>
                <w:rFonts w:hint="default" w:ascii="Arial" w:hAnsi="Arial" w:eastAsiaTheme="minorEastAsia"/>
                <w:color w:val="auto"/>
                <w:sz w:val="22"/>
                <w:szCs w:val="22"/>
                <w:lang w:val="pt-BR" w:eastAsia="pt-BR"/>
              </w:rPr>
              <w:t xml:space="preserve">Exames excedentes MG,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ind w:left="0" w:leftChars="0" w:firstLine="0" w:firstLineChars="0"/>
              <w:jc w:val="both"/>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Und.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360" w:lineRule="auto"/>
              <w:jc w:val="both"/>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100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uppressAutoHyphens/>
              <w:spacing w:before="120" w:after="288" w:afterLines="120" w:line="312" w:lineRule="auto"/>
              <w:jc w:val="both"/>
              <w:rPr>
                <w:rFonts w:hint="default" w:ascii="Arial" w:hAnsi="Arial" w:eastAsia="Arial" w:cs="Arial"/>
                <w:color w:val="auto"/>
                <w:sz w:val="22"/>
                <w:szCs w:val="22"/>
                <w:lang w:val="pt-BR"/>
              </w:rPr>
            </w:pPr>
            <w:r>
              <w:rPr>
                <w:rFonts w:hint="default" w:ascii="Arial" w:hAnsi="Arial" w:eastAsia="Arial" w:cs="Arial"/>
                <w:color w:val="auto"/>
                <w:sz w:val="22"/>
                <w:szCs w:val="22"/>
                <w:lang w:val="pt-BR"/>
              </w:rPr>
              <w:t>R$ 1,80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hint="default" w:ascii="Arial" w:hAnsi="Arial" w:eastAsia="Arial" w:cs="Arial"/>
                <w:color w:val="auto"/>
                <w:sz w:val="22"/>
                <w:szCs w:val="22"/>
                <w:lang w:val="pt-BR"/>
              </w:rPr>
            </w:pPr>
            <w:r>
              <w:rPr>
                <w:rFonts w:hint="default" w:ascii="Arial" w:hAnsi="Arial" w:eastAsia="Arial" w:cs="Arial"/>
                <w:color w:val="auto"/>
                <w:sz w:val="22"/>
                <w:szCs w:val="22"/>
                <w:lang w:val="pt-BR"/>
              </w:rPr>
              <w:t>R$ 180,00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numPr>
                <w:ilvl w:val="0"/>
                <w:numId w:val="0"/>
              </w:numPr>
              <w:suppressAutoHyphens/>
              <w:spacing w:before="120" w:after="288" w:afterLines="120" w:line="312" w:lineRule="auto"/>
              <w:ind w:leftChars="0"/>
              <w:jc w:val="both"/>
              <w:rPr>
                <w:rFonts w:ascii="Arial" w:hAnsi="Arial" w:eastAsia="Arial" w:cs="Arial"/>
                <w:b/>
                <w:bCs/>
                <w:color w:val="auto"/>
                <w:sz w:val="22"/>
                <w:szCs w:val="22"/>
              </w:rPr>
            </w:pPr>
          </w:p>
        </w:tc>
        <w:tc>
          <w:tcPr>
            <w:tcW w:w="0" w:type="auto"/>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uppressAutoHyphens/>
              <w:spacing w:before="120" w:after="288" w:afterLines="120" w:line="312" w:lineRule="auto"/>
              <w:jc w:val="both"/>
              <w:rPr>
                <w:rFonts w:hint="default" w:ascii="Arial" w:hAnsi="Arial" w:eastAsia="Arial" w:cs="Arial"/>
                <w:color w:val="auto"/>
                <w:sz w:val="22"/>
                <w:szCs w:val="22"/>
                <w:lang w:val="pt-BR"/>
              </w:rPr>
            </w:pPr>
            <w:r>
              <w:rPr>
                <w:rFonts w:hint="default" w:ascii="Arial" w:hAnsi="Arial" w:eastAsia="Arial" w:cs="Arial"/>
                <w:b/>
                <w:bCs/>
                <w:color w:val="auto"/>
                <w:sz w:val="22"/>
                <w:szCs w:val="22"/>
                <w:lang w:val="pt-BR"/>
              </w:rPr>
              <w:t>VALOR TOTAL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hint="default" w:ascii="Arial" w:hAnsi="Arial" w:eastAsia="Arial" w:cs="Arial"/>
                <w:color w:val="auto"/>
                <w:sz w:val="22"/>
                <w:szCs w:val="22"/>
                <w:lang w:val="pt-BR"/>
              </w:rPr>
            </w:pPr>
            <w:r>
              <w:rPr>
                <w:rFonts w:hint="default" w:ascii="Arial" w:hAnsi="Arial" w:eastAsia="Arial" w:cs="Arial"/>
                <w:color w:val="auto"/>
                <w:sz w:val="22"/>
                <w:szCs w:val="22"/>
                <w:lang w:val="pt-BR"/>
              </w:rPr>
              <w:t xml:space="preserve">R$ </w:t>
            </w:r>
            <w:r>
              <w:rPr>
                <w:rFonts w:hint="default" w:ascii="Arial" w:hAnsi="Arial" w:eastAsia="Arial" w:cs="Arial"/>
                <w:color w:val="auto"/>
                <w:sz w:val="22"/>
                <w:szCs w:val="22"/>
                <w:lang w:val="pt-BR"/>
              </w:rPr>
              <w:fldChar w:fldCharType="begin"/>
            </w:r>
            <w:r>
              <w:rPr>
                <w:rFonts w:hint="default" w:ascii="Arial" w:hAnsi="Arial" w:eastAsia="Arial" w:cs="Arial"/>
                <w:color w:val="auto"/>
                <w:sz w:val="22"/>
                <w:szCs w:val="22"/>
                <w:lang w:val="pt-BR"/>
              </w:rPr>
              <w:instrText xml:space="preserve"> = sum(F3:F5) \* MERGEFORMAT </w:instrText>
            </w:r>
            <w:r>
              <w:rPr>
                <w:rFonts w:hint="default" w:ascii="Arial" w:hAnsi="Arial" w:eastAsia="Arial" w:cs="Arial"/>
                <w:color w:val="auto"/>
                <w:sz w:val="22"/>
                <w:szCs w:val="22"/>
                <w:lang w:val="pt-BR"/>
              </w:rPr>
              <w:fldChar w:fldCharType="separate"/>
            </w:r>
            <w:r>
              <w:rPr>
                <w:rFonts w:hint="default" w:ascii="Arial" w:hAnsi="Arial" w:eastAsia="Arial" w:cs="Arial"/>
                <w:color w:val="auto"/>
                <w:sz w:val="22"/>
                <w:szCs w:val="22"/>
                <w:lang w:val="pt-BR"/>
              </w:rPr>
              <w:t>54340,00</w:t>
            </w:r>
            <w:r>
              <w:rPr>
                <w:rFonts w:hint="default" w:ascii="Arial" w:hAnsi="Arial" w:eastAsia="Arial" w:cs="Arial"/>
                <w:color w:val="auto"/>
                <w:sz w:val="22"/>
                <w:szCs w:val="22"/>
                <w:lang w:val="pt-BR"/>
              </w:rPr>
              <w:fldChar w:fldCharType="end"/>
            </w:r>
          </w:p>
        </w:tc>
      </w:tr>
    </w:tbl>
    <w:p>
      <w:pPr>
        <w:pStyle w:val="56"/>
        <w:spacing w:after="288" w:afterLines="120" w:line="312" w:lineRule="auto"/>
        <w:ind w:firstLine="709"/>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firstLine="709"/>
        <w:rPr>
          <w:sz w:val="24"/>
          <w:szCs w:val="24"/>
        </w:rPr>
      </w:pPr>
      <w:r>
        <w:rPr>
          <w:sz w:val="24"/>
          <w:szCs w:val="24"/>
        </w:rPr>
        <w:t>O objeto desta contratação são caracterizados como comuns, conforme justificativa constante do Estudo Técnico Preliminar.</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none"/>
        </w:rPr>
        <w:t xml:space="preserve">O prazo de vigência da contratação é </w:t>
      </w:r>
      <w:r>
        <w:rPr>
          <w:rFonts w:hint="default"/>
          <w:i w:val="0"/>
          <w:iCs w:val="0"/>
          <w:color w:val="auto"/>
          <w:sz w:val="24"/>
          <w:szCs w:val="24"/>
          <w:highlight w:val="none"/>
          <w:lang w:val="pt-BR"/>
        </w:rPr>
        <w:t>até 31/12/2024.</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highlight w:val="none"/>
        </w:rPr>
      </w:pPr>
      <w:r>
        <w:rPr>
          <w:sz w:val="24"/>
          <w:szCs w:val="24"/>
        </w:rPr>
        <w:t xml:space="preserve">A Fundamentação da Contratação e de seus quantitativos encontra-se pormenorizada em Tópico específico dos </w:t>
      </w:r>
      <w:r>
        <w:rPr>
          <w:b/>
          <w:bCs/>
          <w:sz w:val="24"/>
          <w:szCs w:val="24"/>
        </w:rPr>
        <w:t>Estudos Técnicos Preliminares</w:t>
      </w:r>
      <w:r>
        <w:rPr>
          <w:rFonts w:hint="default"/>
          <w:b/>
          <w:bCs/>
          <w:sz w:val="24"/>
          <w:szCs w:val="24"/>
          <w:lang w:val="pt-BR"/>
        </w:rPr>
        <w:t>.</w:t>
      </w:r>
    </w:p>
    <w:p>
      <w:pPr>
        <w:pStyle w:val="56"/>
        <w:spacing w:after="288" w:afterLines="120" w:line="312" w:lineRule="auto"/>
        <w:ind w:firstLine="709"/>
        <w:rPr>
          <w:sz w:val="24"/>
          <w:szCs w:val="24"/>
          <w:highlight w:val="none"/>
        </w:rPr>
      </w:pPr>
      <w:r>
        <w:rPr>
          <w:sz w:val="24"/>
          <w:szCs w:val="24"/>
          <w:highlight w:val="none"/>
        </w:rPr>
        <w:t xml:space="preserve">O objeto da contratação está previsto no Plano de Contratações Anual  de </w:t>
      </w:r>
      <w:r>
        <w:rPr>
          <w:rFonts w:hint="default"/>
          <w:color w:val="auto"/>
          <w:sz w:val="24"/>
          <w:szCs w:val="24"/>
          <w:highlight w:val="none"/>
          <w:lang w:val="pt-BR"/>
        </w:rPr>
        <w:t>2024.</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 xml:space="preserve">A descrição da solução como um todo encontra-se pormenorizada em tópico específico dos </w:t>
      </w:r>
      <w:r>
        <w:rPr>
          <w:b/>
          <w:bCs/>
          <w:i w:val="0"/>
          <w:iCs w:val="0"/>
          <w:color w:val="auto"/>
          <w:sz w:val="24"/>
          <w:szCs w:val="24"/>
        </w:rPr>
        <w:t>Estudos Técnicos Preliminares</w:t>
      </w:r>
      <w:r>
        <w:rPr>
          <w:i w:val="0"/>
          <w:iCs w:val="0"/>
          <w:color w:val="auto"/>
          <w:sz w:val="24"/>
          <w:szCs w:val="24"/>
        </w:rPr>
        <w:t>, apêndice deste Termo de Referência.</w:t>
      </w:r>
    </w:p>
    <w:p>
      <w:pPr>
        <w:pStyle w:val="39"/>
        <w:spacing w:before="120" w:after="288" w:afterLines="120" w:line="312" w:lineRule="auto"/>
        <w:rPr>
          <w:sz w:val="24"/>
          <w:szCs w:val="24"/>
          <w:highlight w:val="none"/>
        </w:rPr>
      </w:pPr>
      <w:r>
        <w:rPr>
          <w:sz w:val="24"/>
          <w:szCs w:val="24"/>
          <w:highlight w:val="none"/>
        </w:rPr>
        <w:t>MODELO DE EXECUÇÃO DO OBJETO</w:t>
      </w:r>
    </w:p>
    <w:p>
      <w:pPr>
        <w:pStyle w:val="103"/>
        <w:numPr>
          <w:ilvl w:val="1"/>
          <w:numId w:val="0"/>
        </w:numPr>
        <w:spacing w:after="288" w:afterLines="120" w:line="312" w:lineRule="auto"/>
        <w:ind w:left="709" w:leftChars="0"/>
        <w:rPr>
          <w:rFonts w:hint="default"/>
          <w:b/>
          <w:bCs/>
          <w:i w:val="0"/>
          <w:iCs w:val="0"/>
          <w:color w:val="auto"/>
          <w:sz w:val="24"/>
          <w:szCs w:val="24"/>
          <w:lang w:val="pt-BR"/>
        </w:rPr>
      </w:pPr>
      <w:r>
        <w:rPr>
          <w:rFonts w:hint="default"/>
          <w:b/>
          <w:bCs/>
          <w:i w:val="0"/>
          <w:iCs w:val="0"/>
          <w:color w:val="auto"/>
          <w:sz w:val="24"/>
          <w:szCs w:val="24"/>
          <w:lang w:val="pt-BR"/>
        </w:rPr>
        <w:t>Requisitos mínimos:</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Plataforma de comunicação, armazenamento e visualização de imagens médicas na nuvem.</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Capacidade de integração entre equipamentos de radiologia e outros sistemas HIS e RIS.</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Possibilidade de armazenar de no mínimo 2500 exames CR, DR, DX, MG por mês durante 6 meses na nuvem ou durante a vigência do contrato.(2500 * 6 = 15</w:t>
      </w:r>
      <w:bookmarkStart w:id="2" w:name="_GoBack"/>
      <w:bookmarkEnd w:id="2"/>
      <w:r>
        <w:rPr>
          <w:rFonts w:hint="default"/>
          <w:i w:val="0"/>
          <w:iCs w:val="0"/>
          <w:color w:val="auto"/>
          <w:sz w:val="24"/>
          <w:szCs w:val="24"/>
          <w:lang w:val="pt-BR"/>
        </w:rPr>
        <w:t>.000 total)</w:t>
      </w:r>
    </w:p>
    <w:p>
      <w:pPr>
        <w:pStyle w:val="58"/>
        <w:bidi w:val="0"/>
        <w:ind w:left="420" w:leftChars="0"/>
        <w:rPr>
          <w:rFonts w:hint="default"/>
          <w:sz w:val="24"/>
          <w:szCs w:val="24"/>
          <w:lang w:val="pt-BR"/>
        </w:rPr>
      </w:pPr>
      <w:r>
        <w:rPr>
          <w:rFonts w:hint="default"/>
          <w:sz w:val="24"/>
          <w:szCs w:val="24"/>
          <w:lang w:val="pt-BR"/>
        </w:rPr>
        <w:t>A estimativa que dos 2500 exames: 2000 poderão ser CR e 500 poderão ser MG mensais.</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Armazenamento seguro dos exames em storage na nuvem, utilizando SSL e um banco de dados de alto desempenho.</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Compatibilidade com todos os formatos de imagem médica DICOM.</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Ferramentas de visualização web de imagens médicas DICOM, incluindo recursos como inversão, ajuste de brilho, contraste, medição, densidade e zoom.</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Garantia e comprovação de que o servidor Dicom do sistema PACS esteja hospedado em uma nuvem pública ou privada, com base em um contrato de serviço.</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Fornecer o IP, a Porta e o Atitle, juntamente com o servidor Dicom e token para autenticação e auditoria, se necessário.</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Interface e Software disponível em Português Brasileiro.</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Portal para entrega de resultados (imagens e laudos) de exames para pacientes, utilizando um protocolo de acesso para unidades de saúde externas e pacientes.</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 xml:space="preserve">Acesso remoto e </w:t>
      </w:r>
      <w:r>
        <w:rPr>
          <w:rFonts w:hint="default"/>
          <w:b/>
          <w:bCs/>
          <w:i w:val="0"/>
          <w:iCs w:val="0"/>
          <w:color w:val="auto"/>
          <w:sz w:val="24"/>
          <w:szCs w:val="24"/>
          <w:lang w:val="pt-BR"/>
        </w:rPr>
        <w:t xml:space="preserve">ilimitado </w:t>
      </w:r>
      <w:r>
        <w:rPr>
          <w:rFonts w:hint="default"/>
          <w:i w:val="0"/>
          <w:iCs w:val="0"/>
          <w:color w:val="auto"/>
          <w:sz w:val="24"/>
          <w:szCs w:val="24"/>
          <w:lang w:val="pt-BR"/>
        </w:rPr>
        <w:t>para médicos e pacientes aos resultados por meio da nuvem.</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Sistema de segurança que utiliza autenticação baseada em usuário e senha.</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Relatórios detalhados sobre o uso dos exames e da nuvem.</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 contratada deverá possibilitar os downloads dos exames após o término do contrato, sendo possível encaminhá-los para outro PACS, ou fazer o download dos exames armazenados na nuvem para discos físicos removíveis.</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Manual do PACS em português e com registro na ANVISA.</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O sistema deverá contemplar Registro Anvisa.</w:t>
      </w:r>
    </w:p>
    <w:p>
      <w:pPr>
        <w:pStyle w:val="103"/>
        <w:numPr>
          <w:ilvl w:val="1"/>
          <w:numId w:val="0"/>
        </w:numPr>
        <w:spacing w:after="288" w:afterLines="120" w:line="312" w:lineRule="auto"/>
        <w:rPr>
          <w:rFonts w:hint="default"/>
          <w:b/>
          <w:bCs/>
          <w:i w:val="0"/>
          <w:iCs w:val="0"/>
          <w:color w:val="auto"/>
          <w:sz w:val="24"/>
          <w:szCs w:val="24"/>
          <w:lang w:val="pt-BR"/>
        </w:rPr>
      </w:pPr>
      <w:r>
        <w:rPr>
          <w:rFonts w:hint="default"/>
          <w:b/>
          <w:bCs/>
          <w:i w:val="0"/>
          <w:iCs w:val="0"/>
          <w:color w:val="auto"/>
          <w:sz w:val="24"/>
          <w:szCs w:val="24"/>
          <w:lang w:val="pt-BR"/>
        </w:rPr>
        <w:t>Itens 2 e 3</w:t>
      </w:r>
    </w:p>
    <w:p>
      <w:pPr>
        <w:pStyle w:val="103"/>
        <w:spacing w:after="288" w:afterLines="120" w:line="312" w:lineRule="auto"/>
        <w:ind w:firstLine="709"/>
        <w:rPr>
          <w:rFonts w:hint="default"/>
          <w:b w:val="0"/>
          <w:bCs w:val="0"/>
          <w:i w:val="0"/>
          <w:iCs w:val="0"/>
          <w:color w:val="auto"/>
          <w:sz w:val="24"/>
          <w:szCs w:val="24"/>
          <w:lang w:val="pt-BR"/>
        </w:rPr>
      </w:pPr>
      <w:r>
        <w:rPr>
          <w:rFonts w:hint="default"/>
          <w:b w:val="0"/>
          <w:bCs w:val="0"/>
          <w:i w:val="0"/>
          <w:iCs w:val="0"/>
          <w:color w:val="auto"/>
          <w:sz w:val="24"/>
          <w:szCs w:val="24"/>
          <w:lang w:val="pt-BR"/>
        </w:rPr>
        <w:t>Para os itens 2 e 3, caso os exames ao longo do contrato excedam o quantitativo total de 30.000, a Secretaria de Saúde poderá requisitar exames excedentes. Só serão requisitados caso ultrapassem o quantitativo de exames do item 1, que é de 30.000.</w:t>
      </w:r>
    </w:p>
    <w:p>
      <w:pPr>
        <w:pStyle w:val="103"/>
        <w:numPr>
          <w:ilvl w:val="1"/>
          <w:numId w:val="0"/>
        </w:numPr>
        <w:spacing w:after="288" w:afterLines="120" w:line="312" w:lineRule="auto"/>
        <w:ind w:left="709" w:leftChars="0"/>
        <w:rPr>
          <w:rFonts w:hint="default"/>
          <w:b/>
          <w:bCs/>
          <w:i w:val="0"/>
          <w:iCs w:val="0"/>
          <w:color w:val="auto"/>
          <w:sz w:val="24"/>
          <w:szCs w:val="24"/>
          <w:lang w:val="pt-BR"/>
        </w:rPr>
      </w:pPr>
      <w:r>
        <w:rPr>
          <w:rFonts w:hint="default"/>
          <w:b/>
          <w:bCs/>
          <w:i w:val="0"/>
          <w:iCs w:val="0"/>
          <w:color w:val="auto"/>
          <w:sz w:val="24"/>
          <w:szCs w:val="24"/>
          <w:lang w:val="pt-BR"/>
        </w:rPr>
        <w:t>Do suporte técnico e treinamento</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Monitoramento do Sistema 24x7 vinte e quatro horas por dia, 7 dias por semana.</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 contratada deverá designar um representante da empresa, fornecendo informações detalhadas, como nome completo, número de telefone e endereço de e-mail, para que a administração tenha um ponto de contato em caso de surgimento de problemas técnicos ou necessidade de suporte adicional. Essa medida garantirá uma comunicação eficaz e permitirá que a contratante resolva eventuais questões técnicas de forma ágil e eficiente.</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Suporte técnico Padrão: diário das 8hs às 18hs, Segunda  à Sexta.</w:t>
      </w:r>
    </w:p>
    <w:p>
      <w:pPr>
        <w:pStyle w:val="56"/>
        <w:spacing w:after="288" w:afterLines="120" w:line="312" w:lineRule="auto"/>
        <w:ind w:firstLine="709"/>
        <w:rPr>
          <w:sz w:val="24"/>
          <w:szCs w:val="24"/>
          <w:highlight w:val="none"/>
        </w:rPr>
      </w:pPr>
      <w:r>
        <w:rPr>
          <w:rFonts w:hint="default"/>
          <w:sz w:val="24"/>
          <w:szCs w:val="24"/>
          <w:highlight w:val="none"/>
        </w:rPr>
        <w:t>A contratada deverá fornecer todos os serviços que são necessários para operação do sistema, nos seguintes prazos:</w:t>
      </w:r>
    </w:p>
    <w:p>
      <w:pPr>
        <w:pStyle w:val="56"/>
        <w:numPr>
          <w:ilvl w:val="0"/>
          <w:numId w:val="5"/>
        </w:numPr>
        <w:spacing w:after="288" w:afterLines="120" w:line="312" w:lineRule="auto"/>
        <w:ind w:left="420" w:leftChars="0" w:hanging="420" w:firstLineChars="0"/>
        <w:rPr>
          <w:sz w:val="24"/>
          <w:szCs w:val="24"/>
          <w:highlight w:val="none"/>
        </w:rPr>
      </w:pPr>
      <w:r>
        <w:rPr>
          <w:rFonts w:hint="default"/>
          <w:sz w:val="24"/>
          <w:szCs w:val="24"/>
          <w:highlight w:val="none"/>
        </w:rPr>
        <w:t xml:space="preserve">Prazo de 1 (um) dia para correções de atividades essenciais que impeçam a Consulta/Cadastro e Tramitação de processos; </w:t>
      </w:r>
    </w:p>
    <w:p>
      <w:pPr>
        <w:pStyle w:val="56"/>
        <w:numPr>
          <w:ilvl w:val="0"/>
          <w:numId w:val="5"/>
        </w:numPr>
        <w:spacing w:after="288" w:afterLines="120" w:line="312" w:lineRule="auto"/>
        <w:ind w:left="420" w:leftChars="0" w:hanging="420" w:firstLineChars="0"/>
        <w:rPr>
          <w:rFonts w:hint="default"/>
          <w:i w:val="0"/>
          <w:iCs w:val="0"/>
          <w:color w:val="auto"/>
          <w:sz w:val="24"/>
          <w:szCs w:val="24"/>
          <w:lang w:val="pt-BR"/>
        </w:rPr>
      </w:pPr>
      <w:r>
        <w:rPr>
          <w:rFonts w:hint="default"/>
          <w:sz w:val="24"/>
          <w:szCs w:val="24"/>
          <w:highlight w:val="none"/>
        </w:rPr>
        <w:t>Prazo de 2 (dois) dias para correção de problemas de software, desde que não impeça a utilização de funções básicas do sistema;</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 contratada deverá fornecer Treinamento presencial de no mínimo 36 horas para melhor utilização do software.</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 Contratada deverá dar o treinamento no prazo máximo de até 5 (cinco) dias após solicitação da Contratante; Outros treinamentos poderão ser solicitados no decorrer do contrato de acordo com a necessidade da Contratante, sendo avisados previamente e sem ônus a Contratante.</w:t>
      </w:r>
    </w:p>
    <w:p>
      <w:pPr>
        <w:pStyle w:val="103"/>
        <w:spacing w:after="288" w:afterLines="120" w:line="312" w:lineRule="auto"/>
        <w:ind w:firstLine="709"/>
        <w:rPr>
          <w:rFonts w:hint="default"/>
          <w:i w:val="0"/>
          <w:iCs w:val="0"/>
          <w:color w:val="auto"/>
          <w:sz w:val="24"/>
          <w:szCs w:val="24"/>
          <w:lang w:val="pt-BR"/>
        </w:rPr>
      </w:pPr>
      <w:r>
        <w:rPr>
          <w:rFonts w:hint="default"/>
          <w:i w:val="0"/>
          <w:iCs w:val="0"/>
          <w:color w:val="auto"/>
          <w:sz w:val="24"/>
          <w:szCs w:val="24"/>
          <w:lang w:val="pt-BR"/>
        </w:rPr>
        <w:t>A capacitação deverá ser total sobre a utilização do sistema, possibilitando o profissional ensinar ao usuário do SUS como acessar o exame e laudo remotamente.</w:t>
      </w:r>
    </w:p>
    <w:p>
      <w:pPr>
        <w:pStyle w:val="109"/>
        <w:spacing w:before="120" w:after="288" w:afterLines="120" w:line="312" w:lineRule="auto"/>
        <w:rPr>
          <w:rFonts w:hint="default"/>
          <w:color w:val="000000" w:themeColor="text1"/>
          <w:sz w:val="24"/>
          <w:szCs w:val="24"/>
          <w:highlight w:val="none"/>
          <w:lang w:val="pt-BR"/>
          <w14:textFill>
            <w14:solidFill>
              <w14:schemeClr w14:val="tx1"/>
            </w14:solidFill>
          </w14:textFill>
        </w:rPr>
      </w:pPr>
      <w:r>
        <w:rPr>
          <w:color w:val="000000" w:themeColor="text1"/>
          <w:sz w:val="24"/>
          <w:szCs w:val="24"/>
          <w:highlight w:val="none"/>
          <w14:textFill>
            <w14:solidFill>
              <w14:schemeClr w14:val="tx1"/>
            </w14:solidFill>
          </w14:textFill>
        </w:rPr>
        <w:t xml:space="preserve">Condições de </w:t>
      </w:r>
      <w:r>
        <w:rPr>
          <w:rFonts w:hint="default"/>
          <w:color w:val="000000" w:themeColor="text1"/>
          <w:sz w:val="24"/>
          <w:szCs w:val="24"/>
          <w:highlight w:val="none"/>
          <w:lang w:val="pt-BR"/>
          <w14:textFill>
            <w14:solidFill>
              <w14:schemeClr w14:val="tx1"/>
            </w14:solidFill>
          </w14:textFill>
        </w:rPr>
        <w:t>Serviço</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w:t>
      </w:r>
      <w:r>
        <w:rPr>
          <w:rFonts w:hint="default"/>
          <w:i w:val="0"/>
          <w:iCs w:val="0"/>
          <w:color w:val="auto"/>
          <w:sz w:val="24"/>
          <w:szCs w:val="24"/>
          <w:highlight w:val="none"/>
          <w:lang w:val="pt-BR"/>
        </w:rPr>
        <w:t xml:space="preserve">para inicio da execução </w:t>
      </w:r>
      <w:r>
        <w:rPr>
          <w:i w:val="0"/>
          <w:iCs w:val="0"/>
          <w:color w:val="auto"/>
          <w:sz w:val="24"/>
          <w:szCs w:val="24"/>
          <w:highlight w:val="none"/>
        </w:rPr>
        <w:t xml:space="preserve">dos </w:t>
      </w:r>
      <w:r>
        <w:rPr>
          <w:rFonts w:hint="default"/>
          <w:i w:val="0"/>
          <w:iCs w:val="0"/>
          <w:color w:val="auto"/>
          <w:sz w:val="24"/>
          <w:szCs w:val="24"/>
          <w:highlight w:val="none"/>
          <w:lang w:val="pt-BR"/>
        </w:rPr>
        <w:t>serviços</w:t>
      </w:r>
      <w:r>
        <w:rPr>
          <w:i w:val="0"/>
          <w:iCs w:val="0"/>
          <w:color w:val="auto"/>
          <w:sz w:val="24"/>
          <w:szCs w:val="24"/>
          <w:highlight w:val="none"/>
        </w:rPr>
        <w:t xml:space="preserve"> </w:t>
      </w:r>
      <w:r>
        <w:rPr>
          <w:rFonts w:hint="default"/>
          <w:i w:val="0"/>
          <w:iCs w:val="0"/>
          <w:color w:val="auto"/>
          <w:sz w:val="24"/>
          <w:szCs w:val="24"/>
          <w:highlight w:val="none"/>
          <w:lang w:val="pt-BR"/>
        </w:rPr>
        <w:t xml:space="preserve">será de 10 (dez) </w:t>
      </w:r>
      <w:r>
        <w:rPr>
          <w:i w:val="0"/>
          <w:iCs w:val="0"/>
          <w:color w:val="auto"/>
          <w:sz w:val="24"/>
          <w:szCs w:val="24"/>
          <w:highlight w:val="none"/>
        </w:rPr>
        <w:t>dias</w:t>
      </w:r>
      <w:r>
        <w:rPr>
          <w:rFonts w:hint="default"/>
          <w:i w:val="0"/>
          <w:iCs w:val="0"/>
          <w:color w:val="auto"/>
          <w:sz w:val="24"/>
          <w:szCs w:val="24"/>
          <w:highlight w:val="none"/>
          <w:lang w:val="pt-BR"/>
        </w:rPr>
        <w:t xml:space="preserve"> úteis</w:t>
      </w:r>
      <w:r>
        <w:rPr>
          <w:i w:val="0"/>
          <w:iCs w:val="0"/>
          <w:color w:val="auto"/>
          <w:sz w:val="24"/>
          <w:szCs w:val="24"/>
          <w:highlight w:val="none"/>
        </w:rPr>
        <w:t xml:space="preserve">, contados do(a) </w:t>
      </w:r>
      <w:r>
        <w:rPr>
          <w:rFonts w:hint="default"/>
          <w:i w:val="0"/>
          <w:iCs w:val="0"/>
          <w:color w:val="auto"/>
          <w:sz w:val="24"/>
          <w:szCs w:val="24"/>
          <w:highlight w:val="none"/>
          <w:lang w:val="pt-BR"/>
        </w:rPr>
        <w:t>recebimento da ordem de compra.</w:t>
      </w:r>
      <w:r>
        <w:rPr>
          <w:i w:val="0"/>
          <w:iCs w:val="0"/>
          <w:color w:val="auto"/>
          <w:sz w:val="24"/>
          <w:szCs w:val="24"/>
          <w:highlight w:val="none"/>
        </w:rPr>
        <w:t xml:space="preserve">.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Caso não seja possível </w:t>
      </w:r>
      <w:r>
        <w:rPr>
          <w:rFonts w:hint="default"/>
          <w:i w:val="0"/>
          <w:iCs w:val="0"/>
          <w:color w:val="auto"/>
          <w:sz w:val="24"/>
          <w:szCs w:val="24"/>
          <w:highlight w:val="none"/>
          <w:lang w:val="pt-BR"/>
        </w:rPr>
        <w:t>o inicio</w:t>
      </w:r>
      <w:r>
        <w:rPr>
          <w:i w:val="0"/>
          <w:iCs w:val="0"/>
          <w:color w:val="auto"/>
          <w:sz w:val="24"/>
          <w:szCs w:val="24"/>
          <w:highlight w:val="none"/>
        </w:rPr>
        <w:t xml:space="preserve"> na data assinalada, a empresa deverá comunicar as razões respectivas com pelo menos</w:t>
      </w:r>
      <w:r>
        <w:rPr>
          <w:rFonts w:hint="default"/>
          <w:i w:val="0"/>
          <w:iCs w:val="0"/>
          <w:color w:val="auto"/>
          <w:sz w:val="24"/>
          <w:szCs w:val="24"/>
          <w:highlight w:val="none"/>
          <w:lang w:val="pt-BR"/>
        </w:rPr>
        <w:t xml:space="preserve"> 05</w:t>
      </w:r>
      <w:r>
        <w:rPr>
          <w:i w:val="0"/>
          <w:iCs w:val="0"/>
          <w:color w:val="auto"/>
          <w:sz w:val="24"/>
          <w:szCs w:val="24"/>
          <w:highlight w:val="none"/>
        </w:rPr>
        <w:t xml:space="preserve"> (</w:t>
      </w:r>
      <w:r>
        <w:rPr>
          <w:rFonts w:hint="default"/>
          <w:i w:val="0"/>
          <w:iCs w:val="0"/>
          <w:color w:val="auto"/>
          <w:sz w:val="24"/>
          <w:szCs w:val="24"/>
          <w:highlight w:val="none"/>
          <w:lang w:val="pt-BR"/>
        </w:rPr>
        <w:t>cinco</w:t>
      </w:r>
      <w:r>
        <w:rPr>
          <w:i w:val="0"/>
          <w:iCs w:val="0"/>
          <w:color w:val="auto"/>
          <w:sz w:val="24"/>
          <w:szCs w:val="24"/>
          <w:highlight w:val="none"/>
        </w:rPr>
        <w:t>) dias</w:t>
      </w:r>
      <w:r>
        <w:rPr>
          <w:rFonts w:hint="default"/>
          <w:i w:val="0"/>
          <w:iCs w:val="0"/>
          <w:color w:val="auto"/>
          <w:sz w:val="24"/>
          <w:szCs w:val="24"/>
          <w:highlight w:val="none"/>
          <w:lang w:val="pt-BR"/>
        </w:rPr>
        <w:t xml:space="preserve"> utéis</w:t>
      </w:r>
      <w:r>
        <w:rPr>
          <w:i w:val="0"/>
          <w:iCs w:val="0"/>
          <w:color w:val="auto"/>
          <w:sz w:val="24"/>
          <w:szCs w:val="24"/>
          <w:highlight w:val="none"/>
        </w:rPr>
        <w:t xml:space="preserve"> de antecedência para que qualquer pleito de prorrogação de prazo seja analisado, ressalvadas situações de caso fortuito e força maior.</w:t>
      </w:r>
    </w:p>
    <w:p>
      <w:pPr>
        <w:pStyle w:val="56"/>
        <w:spacing w:after="288" w:afterLines="120" w:line="312" w:lineRule="auto"/>
        <w:ind w:firstLine="709"/>
        <w:rPr>
          <w:sz w:val="24"/>
          <w:szCs w:val="24"/>
          <w:highlight w:val="none"/>
        </w:rPr>
      </w:pPr>
      <w:r>
        <w:rPr>
          <w:rFonts w:hint="default"/>
          <w:sz w:val="24"/>
          <w:szCs w:val="24"/>
          <w:highlight w:val="none"/>
        </w:rPr>
        <w:t xml:space="preserve">No valor da proposta deverá estar incluso todas as despesas ordinárias diretas e indiretas decorrentes da prestação dos serviços, inclusive tributos e/ou impostos, encargos sociais, trabalhistas, previdenciários, fiscais e comerciais incidentes, frete, seguro; </w:t>
      </w:r>
    </w:p>
    <w:p>
      <w:pPr>
        <w:pStyle w:val="56"/>
        <w:spacing w:after="288" w:afterLines="120" w:line="312" w:lineRule="auto"/>
        <w:ind w:firstLine="709"/>
        <w:rPr>
          <w:sz w:val="24"/>
          <w:szCs w:val="24"/>
          <w:highlight w:val="none"/>
        </w:rPr>
      </w:pPr>
      <w:r>
        <w:rPr>
          <w:sz w:val="24"/>
          <w:szCs w:val="24"/>
          <w:highlight w:val="none"/>
        </w:rPr>
        <w:t xml:space="preserve">Os </w:t>
      </w:r>
      <w:r>
        <w:rPr>
          <w:rFonts w:hint="default"/>
          <w:sz w:val="24"/>
          <w:szCs w:val="24"/>
          <w:highlight w:val="none"/>
          <w:lang w:val="pt-BR"/>
        </w:rPr>
        <w:t xml:space="preserve">serviços serão executados </w:t>
      </w:r>
      <w:r>
        <w:rPr>
          <w:sz w:val="24"/>
          <w:szCs w:val="24"/>
          <w:highlight w:val="none"/>
        </w:rPr>
        <w:t>no seguinte endereç</w:t>
      </w:r>
      <w:r>
        <w:rPr>
          <w:rFonts w:hint="default"/>
          <w:sz w:val="24"/>
          <w:szCs w:val="24"/>
          <w:highlight w:val="none"/>
          <w:lang w:val="pt-BR"/>
        </w:rPr>
        <w:t>o: Hospital Municipal São JoséR. Formiga, 114 - Centro, Arcos - MG, 35588-000 ou em um novo endereço previsto na ordem de serviço no perímetro urbano do municipio.</w:t>
      </w:r>
    </w:p>
    <w:p>
      <w:pPr>
        <w:pStyle w:val="56"/>
        <w:numPr>
          <w:ilvl w:val="1"/>
          <w:numId w:val="0"/>
        </w:numPr>
        <w:spacing w:after="288" w:afterLines="120" w:line="312" w:lineRule="auto"/>
        <w:ind w:left="709" w:leftChars="0"/>
        <w:rPr>
          <w:rFonts w:hint="default"/>
          <w:b/>
          <w:bCs/>
          <w:sz w:val="24"/>
          <w:szCs w:val="24"/>
          <w:highlight w:val="none"/>
          <w:lang w:val="pt-BR"/>
        </w:rPr>
      </w:pPr>
      <w:r>
        <w:rPr>
          <w:rFonts w:hint="default"/>
          <w:b/>
          <w:bCs/>
          <w:sz w:val="24"/>
          <w:szCs w:val="24"/>
          <w:highlight w:val="none"/>
          <w:lang w:val="pt-BR"/>
        </w:rPr>
        <w:t>Das Obrigações da Contratada</w:t>
      </w:r>
    </w:p>
    <w:p>
      <w:pPr>
        <w:pStyle w:val="56"/>
        <w:spacing w:after="288" w:afterLines="120" w:line="312" w:lineRule="auto"/>
        <w:ind w:firstLine="709"/>
        <w:rPr>
          <w:sz w:val="24"/>
          <w:szCs w:val="24"/>
          <w:highlight w:val="none"/>
        </w:rPr>
      </w:pPr>
      <w:r>
        <w:rPr>
          <w:rFonts w:hint="default"/>
          <w:sz w:val="24"/>
          <w:szCs w:val="24"/>
          <w:highlight w:val="none"/>
          <w:lang w:val="pt-BR"/>
        </w:rPr>
        <w:t>I</w:t>
      </w:r>
      <w:r>
        <w:rPr>
          <w:rFonts w:hint="default"/>
          <w:sz w:val="24"/>
          <w:szCs w:val="24"/>
          <w:highlight w:val="none"/>
        </w:rPr>
        <w:t>nstalar o sistema acompanhado por um profissional designado pelo Departamento de Saúde;</w:t>
      </w:r>
    </w:p>
    <w:p>
      <w:pPr>
        <w:pStyle w:val="56"/>
        <w:spacing w:after="288" w:afterLines="120" w:line="312" w:lineRule="auto"/>
        <w:ind w:firstLine="709"/>
        <w:rPr>
          <w:sz w:val="24"/>
          <w:szCs w:val="24"/>
          <w:highlight w:val="none"/>
        </w:rPr>
      </w:pPr>
      <w:r>
        <w:rPr>
          <w:rFonts w:hint="default"/>
          <w:sz w:val="24"/>
          <w:szCs w:val="24"/>
          <w:highlight w:val="none"/>
        </w:rPr>
        <w:t xml:space="preserve">Treinar profissionais designados pelo Departamento de Saúde quanto a operacionalização do sistema; </w:t>
      </w:r>
    </w:p>
    <w:p>
      <w:pPr>
        <w:pStyle w:val="56"/>
        <w:spacing w:after="288" w:afterLines="120" w:line="312" w:lineRule="auto"/>
        <w:ind w:firstLine="709"/>
        <w:rPr>
          <w:sz w:val="24"/>
          <w:szCs w:val="24"/>
          <w:highlight w:val="none"/>
        </w:rPr>
      </w:pPr>
      <w:r>
        <w:rPr>
          <w:rFonts w:hint="default"/>
          <w:sz w:val="24"/>
          <w:szCs w:val="24"/>
          <w:highlight w:val="none"/>
        </w:rPr>
        <w:t xml:space="preserve">O objeto ofertado pela Contratada deverá estar em conformidade com a Lei Geral de Proteção de dados, Lei nº 13.709/2018 e seus respectivos artigos; </w:t>
      </w:r>
    </w:p>
    <w:p>
      <w:pPr>
        <w:pStyle w:val="56"/>
        <w:spacing w:after="288" w:afterLines="120" w:line="312" w:lineRule="auto"/>
        <w:ind w:firstLine="709"/>
        <w:rPr>
          <w:sz w:val="24"/>
          <w:szCs w:val="24"/>
          <w:highlight w:val="none"/>
        </w:rPr>
      </w:pPr>
      <w:r>
        <w:rPr>
          <w:rFonts w:hint="default"/>
          <w:sz w:val="24"/>
          <w:szCs w:val="24"/>
          <w:highlight w:val="none"/>
        </w:rPr>
        <w:t xml:space="preserve">Quando estiverem dentro das instalações da Contratante os funcionários da Contratada deverão obedecer às normas da coordenação do local e estar devidamente identificados com uniforme e crachá; </w:t>
      </w:r>
    </w:p>
    <w:p>
      <w:pPr>
        <w:pStyle w:val="56"/>
        <w:spacing w:after="288" w:afterLines="120" w:line="312" w:lineRule="auto"/>
        <w:ind w:firstLine="709"/>
        <w:rPr>
          <w:sz w:val="24"/>
          <w:szCs w:val="24"/>
          <w:highlight w:val="none"/>
        </w:rPr>
      </w:pPr>
      <w:r>
        <w:rPr>
          <w:rFonts w:hint="default"/>
          <w:sz w:val="24"/>
          <w:szCs w:val="24"/>
          <w:highlight w:val="none"/>
        </w:rPr>
        <w:t>A Contratada responsabilizará integralmente pelo processo de armazenamento e segurança dos dados;</w:t>
      </w:r>
    </w:p>
    <w:p>
      <w:pPr>
        <w:pStyle w:val="56"/>
        <w:spacing w:after="288" w:afterLines="120" w:line="312" w:lineRule="auto"/>
        <w:ind w:firstLine="709"/>
        <w:rPr>
          <w:sz w:val="24"/>
          <w:szCs w:val="24"/>
          <w:highlight w:val="none"/>
        </w:rPr>
      </w:pPr>
      <w:r>
        <w:rPr>
          <w:rFonts w:hint="default"/>
          <w:sz w:val="24"/>
          <w:szCs w:val="24"/>
          <w:highlight w:val="none"/>
        </w:rPr>
        <w:t xml:space="preserve"> A Contratada deverá prestar os serviços de acordo as especificações deste Termo de Referência e edital sem possibilidade de alteração que traga serviço de pior qualidade ao usuário do serviço;</w:t>
      </w:r>
    </w:p>
    <w:p>
      <w:pPr>
        <w:pStyle w:val="56"/>
        <w:spacing w:after="288" w:afterLines="120" w:line="312" w:lineRule="auto"/>
        <w:ind w:firstLine="709"/>
        <w:rPr>
          <w:sz w:val="24"/>
          <w:szCs w:val="24"/>
          <w:highlight w:val="none"/>
        </w:rPr>
      </w:pPr>
      <w:r>
        <w:rPr>
          <w:rFonts w:hint="default"/>
          <w:sz w:val="24"/>
          <w:szCs w:val="24"/>
          <w:highlight w:val="none"/>
        </w:rPr>
        <w:t>Poderá ocorrer alteração do serviço especificado caso haja inovação tecnológica que traga, melhor qualidade, eficiência e/ou aumento de produtividade do serviço prestado com prévia autorização e sem custos a Contratante quanto a atualizações do sistema;</w:t>
      </w:r>
    </w:p>
    <w:p>
      <w:pPr>
        <w:pStyle w:val="56"/>
        <w:spacing w:after="288" w:afterLines="120" w:line="312" w:lineRule="auto"/>
        <w:ind w:firstLine="709"/>
        <w:rPr>
          <w:sz w:val="24"/>
          <w:szCs w:val="24"/>
          <w:highlight w:val="none"/>
        </w:rPr>
      </w:pPr>
      <w:r>
        <w:rPr>
          <w:rFonts w:hint="default"/>
          <w:sz w:val="24"/>
          <w:szCs w:val="24"/>
          <w:highlight w:val="none"/>
        </w:rPr>
        <w:t xml:space="preserve">Arcar com todos os custos necessários ao completo fornecimento do objeto, incluindo taxas, seja de ordem administrativa, emolumentos, seguros, impostos, encargos sociais, trabalhistas, bem como qualquer outro custo indireto; </w:t>
      </w:r>
    </w:p>
    <w:p>
      <w:pPr>
        <w:pStyle w:val="56"/>
        <w:spacing w:after="288" w:afterLines="120" w:line="312" w:lineRule="auto"/>
        <w:ind w:firstLine="709"/>
        <w:rPr>
          <w:sz w:val="24"/>
          <w:szCs w:val="24"/>
          <w:highlight w:val="none"/>
        </w:rPr>
      </w:pPr>
      <w:r>
        <w:rPr>
          <w:rFonts w:hint="default"/>
          <w:sz w:val="24"/>
          <w:szCs w:val="24"/>
          <w:highlight w:val="none"/>
        </w:rPr>
        <w:t>Responder por quaisquer danos e qualquer natureza, que venha a sofrer seus empregados, terceiros em razão da execução do objeto, seja  em razão de acidentes, precatórias trabalhistas;</w:t>
      </w:r>
    </w:p>
    <w:p>
      <w:pPr>
        <w:pStyle w:val="56"/>
        <w:spacing w:after="288" w:afterLines="120" w:line="312" w:lineRule="auto"/>
        <w:ind w:firstLine="709"/>
        <w:rPr>
          <w:sz w:val="24"/>
          <w:szCs w:val="24"/>
          <w:highlight w:val="none"/>
        </w:rPr>
      </w:pPr>
      <w:r>
        <w:rPr>
          <w:rFonts w:hint="default"/>
          <w:sz w:val="24"/>
          <w:szCs w:val="24"/>
          <w:highlight w:val="none"/>
        </w:rPr>
        <w:t xml:space="preserve"> A Contratada deverá fornecer back up dos dados caso haja quebra do Contrato ou fim do mesmo para que o Departamento de Saúde possa continuar a prestação futura do serviço;</w:t>
      </w:r>
    </w:p>
    <w:p>
      <w:pPr>
        <w:pStyle w:val="56"/>
        <w:spacing w:after="288" w:afterLines="120" w:line="312" w:lineRule="auto"/>
        <w:ind w:firstLine="709"/>
        <w:rPr>
          <w:sz w:val="24"/>
          <w:szCs w:val="24"/>
          <w:highlight w:val="none"/>
        </w:rPr>
      </w:pPr>
      <w:r>
        <w:rPr>
          <w:rFonts w:hint="default"/>
          <w:sz w:val="24"/>
          <w:szCs w:val="24"/>
          <w:highlight w:val="none"/>
        </w:rPr>
        <w:t>Manter sigilo sobre a condição de saúde do qual a prestadora do serviço tem acesso;</w:t>
      </w:r>
    </w:p>
    <w:p>
      <w:pPr>
        <w:pStyle w:val="56"/>
        <w:spacing w:after="288" w:afterLines="120" w:line="312" w:lineRule="auto"/>
        <w:ind w:firstLine="709"/>
        <w:rPr>
          <w:sz w:val="24"/>
          <w:szCs w:val="24"/>
          <w:highlight w:val="none"/>
        </w:rPr>
      </w:pPr>
      <w:r>
        <w:rPr>
          <w:rFonts w:hint="default"/>
          <w:sz w:val="24"/>
          <w:szCs w:val="24"/>
          <w:highlight w:val="none"/>
        </w:rPr>
        <w:t>Garantir que o acesso aos dados pelos usuários do SUS esteja disponível 24 horas por dia, todos os dias da semana e toda as semanas no mês;</w:t>
      </w:r>
    </w:p>
    <w:p>
      <w:pPr>
        <w:pStyle w:val="56"/>
        <w:spacing w:after="288" w:afterLines="120" w:line="312" w:lineRule="auto"/>
        <w:ind w:firstLine="709"/>
        <w:rPr>
          <w:sz w:val="24"/>
          <w:szCs w:val="24"/>
          <w:highlight w:val="none"/>
        </w:rPr>
      </w:pPr>
      <w:r>
        <w:rPr>
          <w:rFonts w:hint="default"/>
          <w:sz w:val="24"/>
          <w:szCs w:val="24"/>
          <w:highlight w:val="none"/>
        </w:rPr>
        <w:t>Informar previamente à Secretaria Municipal de Saúde das manutenções e interrupções programadas para atualização do sistema;</w:t>
      </w:r>
    </w:p>
    <w:p>
      <w:pPr>
        <w:pStyle w:val="56"/>
        <w:spacing w:after="288" w:afterLines="120" w:line="312" w:lineRule="auto"/>
        <w:ind w:firstLine="709"/>
        <w:rPr>
          <w:sz w:val="24"/>
          <w:szCs w:val="24"/>
          <w:highlight w:val="none"/>
        </w:rPr>
      </w:pPr>
      <w:r>
        <w:rPr>
          <w:rFonts w:hint="default"/>
          <w:sz w:val="24"/>
          <w:szCs w:val="24"/>
          <w:highlight w:val="none"/>
        </w:rPr>
        <w:t>Obedecer às especificações dos objetos, constantes deste Termo de Referência, da proposta apresentada e do ato convocatório, cumprindo o prazo estabelecido;</w:t>
      </w:r>
    </w:p>
    <w:p>
      <w:pPr>
        <w:pStyle w:val="56"/>
        <w:spacing w:after="288" w:afterLines="120" w:line="312" w:lineRule="auto"/>
        <w:ind w:firstLine="709"/>
        <w:rPr>
          <w:sz w:val="24"/>
          <w:szCs w:val="24"/>
          <w:highlight w:val="none"/>
        </w:rPr>
      </w:pPr>
      <w:r>
        <w:rPr>
          <w:rFonts w:hint="default"/>
          <w:sz w:val="24"/>
          <w:szCs w:val="24"/>
          <w:highlight w:val="none"/>
        </w:rPr>
        <w:t>Responsabilizar-se pelo transporte dos objetos/produtos até as dependências da contratante, como também pelas despesas a ele inerentes;</w:t>
      </w:r>
    </w:p>
    <w:p>
      <w:pPr>
        <w:pStyle w:val="56"/>
        <w:spacing w:after="288" w:afterLines="120" w:line="312" w:lineRule="auto"/>
        <w:ind w:firstLine="709"/>
        <w:rPr>
          <w:sz w:val="24"/>
          <w:szCs w:val="24"/>
          <w:highlight w:val="none"/>
        </w:rPr>
      </w:pPr>
      <w:r>
        <w:rPr>
          <w:rFonts w:hint="default"/>
          <w:sz w:val="24"/>
          <w:szCs w:val="24"/>
          <w:highlight w:val="none"/>
        </w:rPr>
        <w:t>O objeto desta licitação deverá ser executado, no prazo máximo de 05 (cinco) dias úteis, contados do a partir do recebimento da ordem de serviço expedida pelo setor responsável desta prefeitura;</w:t>
      </w:r>
    </w:p>
    <w:p>
      <w:pPr>
        <w:pStyle w:val="109"/>
        <w:spacing w:before="120" w:after="288" w:afterLines="120" w:line="312" w:lineRule="auto"/>
        <w:rPr>
          <w:color w:val="auto"/>
          <w:sz w:val="24"/>
          <w:szCs w:val="24"/>
          <w:highlight w:val="none"/>
        </w:rPr>
      </w:pPr>
      <w:r>
        <w:rPr>
          <w:color w:val="auto"/>
          <w:sz w:val="24"/>
          <w:szCs w:val="24"/>
          <w:highlight w:val="none"/>
        </w:rPr>
        <w:t>Garantia</w:t>
      </w:r>
    </w:p>
    <w:p>
      <w:pPr>
        <w:pStyle w:val="56"/>
        <w:spacing w:after="288" w:afterLines="120" w:line="312" w:lineRule="auto"/>
        <w:ind w:firstLine="709"/>
        <w:rPr>
          <w:i w:val="0"/>
          <w:iCs w:val="0"/>
          <w:color w:val="auto"/>
          <w:highlight w:val="none"/>
        </w:rPr>
      </w:pPr>
      <w:r>
        <w:rPr>
          <w:sz w:val="24"/>
          <w:szCs w:val="24"/>
          <w:highlight w:val="none"/>
        </w:rPr>
        <w:t xml:space="preserve">O prazo de garantia é aquele estabelecido na Lei nº 8.078, de 11 de setembro de 1990 (Código de Defesa do Consumidor)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Uma vez notificado, o Contratado realizará a reparação ou substituição dos bens que apresentarem vício ou defeito no prazo de até</w:t>
      </w:r>
      <w:r>
        <w:rPr>
          <w:rFonts w:hint="default"/>
          <w:i w:val="0"/>
          <w:iCs w:val="0"/>
          <w:color w:val="auto"/>
          <w:sz w:val="24"/>
          <w:szCs w:val="24"/>
          <w:highlight w:val="none"/>
          <w:lang w:val="pt-BR"/>
        </w:rPr>
        <w:t xml:space="preserve"> 05</w:t>
      </w:r>
      <w:r>
        <w:rPr>
          <w:i w:val="0"/>
          <w:iCs w:val="0"/>
          <w:color w:val="auto"/>
          <w:sz w:val="24"/>
          <w:szCs w:val="24"/>
          <w:highlight w:val="none"/>
        </w:rPr>
        <w:t xml:space="preserve"> (</w:t>
      </w:r>
      <w:r>
        <w:rPr>
          <w:rFonts w:hint="default"/>
          <w:i w:val="0"/>
          <w:iCs w:val="0"/>
          <w:color w:val="auto"/>
          <w:sz w:val="24"/>
          <w:szCs w:val="24"/>
          <w:highlight w:val="none"/>
          <w:lang w:val="pt-BR"/>
        </w:rPr>
        <w:t>cinco</w:t>
      </w:r>
      <w:r>
        <w:rPr>
          <w:i w:val="0"/>
          <w:iCs w:val="0"/>
          <w:color w:val="auto"/>
          <w:sz w:val="24"/>
          <w:szCs w:val="24"/>
          <w:highlight w:val="none"/>
        </w:rPr>
        <w:t xml:space="preserve">) dias úteis, contados a partir da data de retirada do equipamento das dependências da Administração pelo Contratado ou pela assistência técnica autorizada.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indicado no subitem anterior, durante seu transcurso, poderá ser prorrogado uma única vez, por igual período, mediante solicitação escrita e justificada do Contratado, aceita pelo Contratante.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custo referente ao transporte dos equipamentos cobertos pela garantia será de responsabilidade do Contratado. </w:t>
      </w:r>
    </w:p>
    <w:p>
      <w:pPr>
        <w:pStyle w:val="103"/>
        <w:spacing w:after="288" w:afterLines="120" w:line="312" w:lineRule="auto"/>
        <w:ind w:firstLine="709"/>
        <w:rPr>
          <w:sz w:val="24"/>
          <w:szCs w:val="24"/>
          <w:highlight w:val="none"/>
        </w:rPr>
      </w:pPr>
      <w:r>
        <w:rPr>
          <w:i w:val="0"/>
          <w:iCs w:val="0"/>
          <w:color w:val="auto"/>
          <w:sz w:val="24"/>
          <w:szCs w:val="24"/>
          <w:highlight w:val="none"/>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highlight w:val="none"/>
        </w:rPr>
        <w:t>.</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sendo indicado para a presente contratação o servidor</w:t>
      </w:r>
      <w:r>
        <w:rPr>
          <w:rFonts w:hint="default"/>
          <w:sz w:val="24"/>
          <w:szCs w:val="24"/>
          <w:lang w:val="pt-BR"/>
        </w:rPr>
        <w:t xml:space="preserve"> Micheli Custodia Diniz  MASP: 6655/9 </w:t>
      </w:r>
      <w:r>
        <w:rPr>
          <w:sz w:val="24"/>
          <w:szCs w:val="24"/>
        </w:rPr>
        <w:t>para atuar como fiscal do contrato e o servidor</w:t>
      </w:r>
      <w:r>
        <w:rPr>
          <w:rFonts w:hint="default"/>
          <w:sz w:val="24"/>
          <w:szCs w:val="24"/>
          <w:lang w:val="pt-BR"/>
        </w:rPr>
        <w:t xml:space="preserve"> Sr. Tiago Carvalho de Oliveira</w:t>
      </w:r>
      <w:r>
        <w:rPr>
          <w:sz w:val="24"/>
          <w:szCs w:val="24"/>
        </w:rPr>
        <w:t xml:space="preserve"> para atuar como gestor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firstLine="709"/>
        <w:rPr>
          <w:sz w:val="24"/>
          <w:szCs w:val="24"/>
          <w:lang w:eastAsia="en-US"/>
        </w:rPr>
      </w:pPr>
      <w:r>
        <w:rPr>
          <w:sz w:val="24"/>
          <w:szCs w:val="24"/>
          <w:lang w:eastAsia="en-US"/>
        </w:rPr>
        <w:t xml:space="preserve">Os </w:t>
      </w:r>
      <w:r>
        <w:rPr>
          <w:rFonts w:hint="default"/>
          <w:sz w:val="24"/>
          <w:szCs w:val="24"/>
          <w:lang w:val="pt-BR" w:eastAsia="en-US"/>
        </w:rPr>
        <w:t xml:space="preserve">serviços </w:t>
      </w:r>
      <w:r>
        <w:rPr>
          <w:sz w:val="24"/>
          <w:szCs w:val="24"/>
          <w:lang w:eastAsia="en-US"/>
        </w:rPr>
        <w:t xml:space="preserve">poderão ser rejeitados, no todo ou em parte, quando em desacordo com as especificações constantes no Termo de Referênciae na proposta, devendo ser substituídos no prazo </w:t>
      </w:r>
      <w:r>
        <w:rPr>
          <w:color w:val="auto"/>
          <w:sz w:val="24"/>
          <w:szCs w:val="24"/>
          <w:lang w:eastAsia="en-US"/>
        </w:rPr>
        <w:t xml:space="preserve">de </w:t>
      </w:r>
      <w:r>
        <w:rPr>
          <w:rFonts w:hint="default"/>
          <w:color w:val="auto"/>
          <w:sz w:val="24"/>
          <w:szCs w:val="24"/>
          <w:lang w:val="pt-BR" w:eastAsia="en-US"/>
        </w:rPr>
        <w:t>05 (cinco)</w:t>
      </w:r>
      <w:r>
        <w:rPr>
          <w:color w:val="auto"/>
          <w:sz w:val="24"/>
          <w:szCs w:val="24"/>
          <w:lang w:eastAsia="en-US"/>
        </w:rPr>
        <w:t xml:space="preserve"> dias</w:t>
      </w:r>
      <w:r>
        <w:rPr>
          <w:rFonts w:hint="default"/>
          <w:color w:val="auto"/>
          <w:sz w:val="24"/>
          <w:szCs w:val="24"/>
          <w:lang w:val="pt-BR" w:eastAsia="en-US"/>
        </w:rPr>
        <w:t xml:space="preserve"> úteis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highlight w:val="none"/>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highlight w:val="none"/>
        </w:rPr>
        <w:t>O pagamento será efetuado no prazo de até trinta dia</w:t>
      </w:r>
      <w:r>
        <w:rPr>
          <w:sz w:val="24"/>
          <w:szCs w:val="24"/>
        </w:rPr>
        <w:t>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Comum</w:t>
      </w:r>
      <w:r>
        <w:rPr>
          <w:rFonts w:eastAsia="Arial"/>
          <w:sz w:val="24"/>
          <w:szCs w:val="24"/>
        </w:rPr>
        <w:t xml:space="preserve"> sob a forma ELETRÔNICA, com adoção do critério de julgamento pelo </w:t>
      </w:r>
      <w:r>
        <w:rPr>
          <w:rFonts w:hint="default" w:eastAsia="Arial"/>
          <w:sz w:val="24"/>
          <w:szCs w:val="24"/>
          <w:lang w:val="pt-BR"/>
        </w:rPr>
        <w:t>menor preço por Lote.</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rFonts w:hint="default" w:ascii="Arial" w:hAnsi="Arial" w:cs="Arial"/>
          <w:b/>
          <w:bCs w:val="0"/>
          <w:sz w:val="24"/>
          <w:szCs w:val="24"/>
          <w:lang w:val="pt-BR"/>
        </w:rPr>
        <w:t xml:space="preserve"> </w:t>
      </w:r>
      <w:r>
        <w:rPr>
          <w:rFonts w:ascii="Arial" w:hAnsi="Arial" w:cs="Arial"/>
          <w:b/>
          <w:bCs w:val="0"/>
          <w:sz w:val="24"/>
          <w:szCs w:val="24"/>
        </w:rPr>
        <w:t>Sociedade empresária estrangeira:</w:t>
      </w:r>
      <w:r>
        <w:rPr>
          <w:rFonts w:ascii="Arial" w:hAnsi="Arial" w:cs="Arial"/>
          <w:b w:val="0"/>
          <w:bCs/>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rFonts w:hint="default" w:ascii="Arial" w:hAnsi="Arial"/>
          <w:color w:val="000000"/>
          <w:sz w:val="24"/>
          <w:szCs w:val="24"/>
          <w:lang w:val="pt-BR"/>
        </w:rPr>
      </w:pPr>
      <w:r>
        <w:rPr>
          <w:sz w:val="24"/>
          <w:szCs w:val="24"/>
        </w:rPr>
        <w:t xml:space="preserve">Certidão negativa de falência expedida pelo distribuidor da sede do fornecedor - </w:t>
      </w:r>
      <w:r>
        <w:rPr>
          <w:highlight w:val="none"/>
        </w:rPr>
        <w:fldChar w:fldCharType="begin"/>
      </w:r>
      <w:r>
        <w:rPr>
          <w:highlight w:val="none"/>
        </w:rPr>
        <w:instrText xml:space="preserve"> HYPERLINK "http://www.planalto.gov.br/ccivil_03/_ato2019-2022/2021/lei/L14133.htm" \l "art69" </w:instrText>
      </w:r>
      <w:r>
        <w:rPr>
          <w:highlight w:val="none"/>
        </w:rPr>
        <w:fldChar w:fldCharType="separate"/>
      </w:r>
      <w:r>
        <w:rPr>
          <w:rStyle w:val="13"/>
          <w:sz w:val="24"/>
          <w:szCs w:val="24"/>
          <w:highlight w:val="none"/>
        </w:rPr>
        <w:t>Lei nº 14.133, de 2021, art. 69, caput, inciso II</w:t>
      </w:r>
      <w:r>
        <w:rPr>
          <w:rStyle w:val="13"/>
          <w:sz w:val="24"/>
          <w:szCs w:val="24"/>
          <w:highlight w:val="none"/>
        </w:rPr>
        <w:fldChar w:fldCharType="end"/>
      </w:r>
      <w:r>
        <w:rPr>
          <w:sz w:val="24"/>
          <w:szCs w:val="24"/>
          <w:highlight w:val="none"/>
        </w:rPr>
        <w:t>);</w:t>
      </w:r>
    </w:p>
    <w:p>
      <w:pPr>
        <w:pStyle w:val="56"/>
        <w:spacing w:after="288" w:afterLines="120" w:line="312" w:lineRule="auto"/>
        <w:ind w:firstLine="709"/>
        <w:rPr>
          <w:rFonts w:hint="default" w:ascii="Arial" w:hAnsi="Arial"/>
          <w:color w:val="000000"/>
          <w:sz w:val="24"/>
          <w:szCs w:val="24"/>
          <w:lang w:val="pt-BR"/>
        </w:rPr>
      </w:pPr>
      <w:r>
        <w:rPr>
          <w:rFonts w:hint="default" w:ascii="Arial" w:hAnsi="Arial"/>
          <w:color w:val="000000"/>
          <w:sz w:val="24"/>
          <w:szCs w:val="24"/>
        </w:rPr>
        <w:t>Balanço patrimonial, demonstração de resultado de exercício e demais demonstrações contábeis relativos ao último exercício 2023</w:t>
      </w:r>
      <w:r>
        <w:rPr>
          <w:rFonts w:hint="default" w:ascii="Arial" w:hAnsi="Arial"/>
          <w:color w:val="000000"/>
          <w:sz w:val="24"/>
          <w:szCs w:val="24"/>
          <w:lang w:val="en-US"/>
        </w:rPr>
        <w:t xml:space="preserve">. </w:t>
      </w:r>
      <w:r>
        <w:rPr>
          <w:rFonts w:hint="default" w:ascii="Arial" w:hAnsi="Arial"/>
          <w:color w:val="000000"/>
          <w:sz w:val="24"/>
          <w:szCs w:val="24"/>
          <w:lang w:val="pt-BR"/>
        </w:rPr>
        <w:t>(Lei nº 14.133, de 2021, art. 69, §6º).</w:t>
      </w:r>
      <w:r>
        <w:rPr>
          <w:rFonts w:hint="default" w:ascii="Arial" w:hAnsi="Arial"/>
          <w:color w:val="000000"/>
          <w:sz w:val="24"/>
          <w:szCs w:val="24"/>
          <w:lang w:val="en-US"/>
        </w:rPr>
        <w:t xml:space="preserve"> As empresas optantes pela SPEED podem apresentar balanço de 2022 nas licitações com abertura até 31/05</w:t>
      </w:r>
      <w:r>
        <w:rPr>
          <w:rFonts w:hint="default" w:ascii="Arial" w:hAnsi="Arial"/>
          <w:color w:val="000000"/>
          <w:sz w:val="24"/>
          <w:szCs w:val="24"/>
          <w:lang w:val="pt-BR"/>
        </w:rPr>
        <w:t>/</w:t>
      </w:r>
      <w:r>
        <w:rPr>
          <w:rFonts w:hint="default" w:ascii="Arial" w:hAnsi="Arial"/>
          <w:color w:val="000000"/>
          <w:sz w:val="24"/>
          <w:szCs w:val="24"/>
          <w:lang w:val="en-US"/>
        </w:rPr>
        <w:t>2024. </w:t>
      </w:r>
    </w:p>
    <w:p>
      <w:pPr>
        <w:pStyle w:val="56"/>
        <w:spacing w:after="288" w:afterLines="120" w:line="312" w:lineRule="auto"/>
        <w:ind w:firstLine="709"/>
        <w:rPr>
          <w:sz w:val="24"/>
          <w:szCs w:val="24"/>
          <w:highlight w:val="none"/>
        </w:rPr>
      </w:pPr>
      <w:r>
        <w:rPr>
          <w:sz w:val="24"/>
          <w:szCs w:val="24"/>
          <w:highlight w:val="none"/>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highlight w:val="none"/>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w:t>
      </w:r>
      <w:r>
        <w:rPr>
          <w:i w:val="0"/>
          <w:iCs w:val="0"/>
          <w:color w:val="auto"/>
          <w:sz w:val="24"/>
          <w:szCs w:val="24"/>
        </w:rPr>
        <w:t xml:space="preserv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firstLine="709"/>
        <w:rPr>
          <w:b/>
          <w:bCs/>
          <w:i w:val="0"/>
          <w:iCs w:val="0"/>
          <w:color w:val="auto"/>
          <w:sz w:val="24"/>
          <w:szCs w:val="24"/>
          <w:highlight w:val="none"/>
        </w:rPr>
      </w:pPr>
      <w:r>
        <w:rPr>
          <w:i w:val="0"/>
          <w:iCs w:val="0"/>
          <w:color w:val="auto"/>
          <w:sz w:val="24"/>
          <w:szCs w:val="24"/>
          <w:highlight w:val="none"/>
        </w:rPr>
        <w:t>O custo estimado total da contratação</w:t>
      </w:r>
      <w:r>
        <w:rPr>
          <w:rFonts w:hint="default"/>
          <w:i w:val="0"/>
          <w:iCs w:val="0"/>
          <w:color w:val="auto"/>
          <w:sz w:val="24"/>
          <w:szCs w:val="24"/>
          <w:highlight w:val="none"/>
          <w:lang w:val="pt-BR"/>
        </w:rPr>
        <w:t xml:space="preserve"> está na tabela encaminhada pelo departamento de Suprimentos em anexo.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p>
      <w:pPr>
        <w:rPr>
          <w:rFonts w:eastAsia="Arial"/>
          <w:sz w:val="24"/>
          <w:szCs w:val="24"/>
        </w:rPr>
      </w:pPr>
    </w:p>
    <w:bookmarkEnd w:id="0"/>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r>
        <w:rPr>
          <w:rFonts w:hint="default"/>
          <w:color w:val="auto"/>
          <w:sz w:val="24"/>
          <w:szCs w:val="24"/>
          <w:highlight w:val="none"/>
          <w:lang w:val="pt-BR"/>
        </w:rPr>
        <w:t>Arcos/MG, 11 de Abril de 2024</w:t>
      </w:r>
      <w:r>
        <w:rPr>
          <w:color w:val="auto"/>
          <w:sz w:val="24"/>
          <w:szCs w:val="24"/>
          <w:highlight w:val="none"/>
        </w:rPr>
        <w:t>.</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12" w:lineRule="auto"/>
        <w:ind w:left="357"/>
        <w:jc w:val="center"/>
        <w:textAlignment w:val="auto"/>
        <w:rPr>
          <w:rFonts w:ascii="Arial" w:hAnsi="Arial" w:eastAsia="Arial" w:cs="Arial"/>
          <w:color w:val="auto"/>
          <w:highlight w:val="none"/>
        </w:rPr>
      </w:pPr>
      <w:r>
        <w:rPr>
          <w:rFonts w:ascii="Arial" w:hAnsi="Arial" w:eastAsia="Arial" w:cs="Arial"/>
          <w:color w:val="auto"/>
          <w:highlight w:val="none"/>
        </w:rPr>
        <w:t>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b/>
          <w:bCs/>
          <w:color w:val="auto"/>
          <w:highlight w:val="none"/>
          <w:lang w:val="pt-BR"/>
        </w:rPr>
      </w:pPr>
      <w:r>
        <w:rPr>
          <w:rFonts w:hint="default" w:ascii="Arial" w:hAnsi="Arial" w:eastAsia="Arial"/>
          <w:b/>
          <w:bCs/>
          <w:color w:val="auto"/>
          <w:highlight w:val="none"/>
          <w:lang w:val="pt-BR"/>
        </w:rPr>
        <w:t>Tiago Cravalho de Oliveira</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b/>
          <w:bCs/>
          <w:color w:val="auto"/>
          <w:highlight w:val="none"/>
          <w:lang w:val="pt-BR"/>
        </w:rPr>
      </w:pPr>
      <w:r>
        <w:rPr>
          <w:rFonts w:hint="default" w:ascii="Arial" w:hAnsi="Arial" w:eastAsia="Arial"/>
          <w:b/>
          <w:bCs/>
          <w:color w:val="auto"/>
          <w:highlight w:val="none"/>
          <w:lang w:val="pt-BR"/>
        </w:rPr>
        <w:t>Secretario Municipal de Saúde</w:t>
      </w: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056C840A"/>
    <w:multiLevelType w:val="singleLevel"/>
    <w:tmpl w:val="056C840A"/>
    <w:lvl w:ilvl="0" w:tentative="0">
      <w:start w:val="1"/>
      <w:numFmt w:val="decimal"/>
      <w:lvlText w:val="%1."/>
      <w:lvlJc w:val="left"/>
      <w:pPr>
        <w:tabs>
          <w:tab w:val="left" w:pos="425"/>
        </w:tabs>
        <w:ind w:left="425" w:leftChars="0" w:hanging="425" w:firstLineChars="0"/>
      </w:pPr>
      <w:rPr>
        <w:rFonts w:hint="default"/>
      </w:rPr>
    </w:lvl>
  </w:abstractNum>
  <w:abstractNum w:abstractNumId="2">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7CA2DB93"/>
    <w:multiLevelType w:val="singleLevel"/>
    <w:tmpl w:val="7CA2DB9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0E3"/>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0FBF7138"/>
    <w:rsid w:val="10E0D201"/>
    <w:rsid w:val="11041DAD"/>
    <w:rsid w:val="114D992C"/>
    <w:rsid w:val="15FB6522"/>
    <w:rsid w:val="1610175A"/>
    <w:rsid w:val="165C66F7"/>
    <w:rsid w:val="16649FEF"/>
    <w:rsid w:val="187314D3"/>
    <w:rsid w:val="193305E4"/>
    <w:rsid w:val="1A0CC7BE"/>
    <w:rsid w:val="1AB5ADE8"/>
    <w:rsid w:val="1AECDB15"/>
    <w:rsid w:val="1B7553A0"/>
    <w:rsid w:val="1C3EC466"/>
    <w:rsid w:val="1C8CA1DF"/>
    <w:rsid w:val="1C93727A"/>
    <w:rsid w:val="1D38DAFD"/>
    <w:rsid w:val="201438DE"/>
    <w:rsid w:val="21D19061"/>
    <w:rsid w:val="21E662A0"/>
    <w:rsid w:val="225CA34E"/>
    <w:rsid w:val="23272055"/>
    <w:rsid w:val="242F06C7"/>
    <w:rsid w:val="24DF3391"/>
    <w:rsid w:val="2657C157"/>
    <w:rsid w:val="26789B7A"/>
    <w:rsid w:val="27290B24"/>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4FD01DE9"/>
    <w:rsid w:val="512C7C40"/>
    <w:rsid w:val="515AB37A"/>
    <w:rsid w:val="51751759"/>
    <w:rsid w:val="5189942C"/>
    <w:rsid w:val="52F683DB"/>
    <w:rsid w:val="532B3C12"/>
    <w:rsid w:val="53AF3254"/>
    <w:rsid w:val="559A084E"/>
    <w:rsid w:val="55FA4715"/>
    <w:rsid w:val="5658C53A"/>
    <w:rsid w:val="569C1CFF"/>
    <w:rsid w:val="583BAD14"/>
    <w:rsid w:val="58ED34F0"/>
    <w:rsid w:val="5B58F1E4"/>
    <w:rsid w:val="5CD15AEC"/>
    <w:rsid w:val="5D3D0CA8"/>
    <w:rsid w:val="5E1E1829"/>
    <w:rsid w:val="5EE1B42A"/>
    <w:rsid w:val="607D848B"/>
    <w:rsid w:val="617014FC"/>
    <w:rsid w:val="61981D74"/>
    <w:rsid w:val="61D6BAE2"/>
    <w:rsid w:val="633AA146"/>
    <w:rsid w:val="634A55B6"/>
    <w:rsid w:val="64D671A7"/>
    <w:rsid w:val="650E5BA4"/>
    <w:rsid w:val="664A44DD"/>
    <w:rsid w:val="67AF5CA0"/>
    <w:rsid w:val="6B492A09"/>
    <w:rsid w:val="6B897116"/>
    <w:rsid w:val="6CB288AC"/>
    <w:rsid w:val="6CB29864"/>
    <w:rsid w:val="6CDEAB8A"/>
    <w:rsid w:val="6DAB702B"/>
    <w:rsid w:val="6E9858D8"/>
    <w:rsid w:val="6EA8BB6A"/>
    <w:rsid w:val="6EFA4BB6"/>
    <w:rsid w:val="6F16824D"/>
    <w:rsid w:val="6F9619D1"/>
    <w:rsid w:val="71104140"/>
    <w:rsid w:val="712F5AB8"/>
    <w:rsid w:val="724B2FE2"/>
    <w:rsid w:val="729C6CED"/>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65CDB-1419-435A-AC24-1D47985E0D45}">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customXml/itemProps6.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2</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2024-03-12T14:32:00Z</cp:lastPrinted>
  <dcterms:modified xsi:type="dcterms:W3CDTF">2024-05-07T17:11:37Z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7D66AB472BB94B0BAF9BA854CD2A5E82_13</vt:lpwstr>
  </property>
</Properties>
</file>