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Times New Roman" w:cs="Arial"/>
          <w:b/>
          <w:iCs/>
          <w:lang w:val="pt-BR"/>
        </w:rPr>
      </w:pPr>
      <w:bookmarkStart w:id="0" w:name="_Hlk82471863"/>
      <w:r>
        <w:rPr>
          <w:rFonts w:ascii="Arial" w:hAnsi="Arial" w:eastAsia="Times New Roman" w:cs="Arial"/>
          <w:b/>
          <w:iCs/>
        </w:rPr>
        <w:t>TERMO DE REFERÊNCIA</w:t>
      </w:r>
      <w:r>
        <w:rPr>
          <w:rFonts w:hint="default" w:ascii="Arial" w:hAnsi="Arial" w:eastAsia="Times New Roman" w:cs="Arial"/>
          <w:b/>
          <w:iCs/>
          <w:lang w:val="pt-BR"/>
        </w:rPr>
        <w:t xml:space="preserve"> Nº 93/2024</w:t>
      </w:r>
    </w:p>
    <w:p>
      <w:pPr>
        <w:jc w:val="center"/>
        <w:rPr>
          <w:rFonts w:hint="default" w:ascii="Arial" w:hAnsi="Arial" w:eastAsia="Times New Roman" w:cs="Arial"/>
          <w:b/>
          <w:iCs/>
          <w:highlight w:val="yellow"/>
          <w:lang w:val="pt-BR"/>
        </w:rPr>
      </w:pPr>
      <w:r>
        <w:rPr>
          <w:rFonts w:ascii="Arial" w:hAnsi="Arial" w:eastAsia="Times New Roman" w:cs="Arial"/>
          <w:b/>
          <w:iCs/>
          <w:highlight w:val="yellow"/>
        </w:rPr>
        <w:t>Serviços comuns e ou especiais</w:t>
      </w:r>
      <w:r>
        <w:rPr>
          <w:rFonts w:hint="default" w:ascii="Arial" w:hAnsi="Arial" w:eastAsia="Times New Roman" w:cs="Arial"/>
          <w:b/>
          <w:iCs/>
          <w:highlight w:val="yellow"/>
          <w:lang w:val="pt-BR"/>
        </w:rPr>
        <w:t>,</w:t>
      </w:r>
    </w:p>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288" w:afterLines="120" w:line="312" w:lineRule="auto"/>
        <w:ind w:left="0" w:firstLine="0"/>
        <w:rPr>
          <w:rFonts w:eastAsia="Arial"/>
          <w:sz w:val="24"/>
          <w:szCs w:val="24"/>
        </w:rPr>
      </w:pPr>
      <w:r>
        <w:rPr>
          <w:sz w:val="24"/>
          <w:szCs w:val="24"/>
        </w:rPr>
        <w:t>CONDIÇÕES GERAIS DA CONTRATAÇÃO</w:t>
      </w:r>
    </w:p>
    <w:p>
      <w:pPr>
        <w:pStyle w:val="56"/>
        <w:spacing w:after="288" w:afterLines="120" w:line="312" w:lineRule="auto"/>
        <w:ind w:firstLine="709"/>
        <w:rPr>
          <w:b/>
          <w:bCs/>
          <w:sz w:val="24"/>
          <w:szCs w:val="24"/>
        </w:rPr>
      </w:pPr>
      <w:r>
        <w:rPr>
          <w:sz w:val="24"/>
          <w:szCs w:val="24"/>
          <w:highlight w:val="yellow"/>
        </w:rPr>
        <w:t xml:space="preserve">Contratação da prestação de serviços </w:t>
      </w:r>
      <w:r>
        <w:rPr>
          <w:rFonts w:hint="default"/>
          <w:sz w:val="24"/>
          <w:szCs w:val="24"/>
          <w:highlight w:val="yellow"/>
        </w:rPr>
        <w:t xml:space="preserve">para  futuras e eventuais locações de  Máquina </w:t>
      </w:r>
      <w:r>
        <w:rPr>
          <w:rFonts w:hint="default"/>
          <w:sz w:val="24"/>
          <w:szCs w:val="24"/>
          <w:highlight w:val="yellow"/>
          <w:lang w:val="pt-BR"/>
        </w:rPr>
        <w:t xml:space="preserve">tipo </w:t>
      </w:r>
      <w:r>
        <w:rPr>
          <w:rFonts w:hint="default"/>
          <w:sz w:val="24"/>
          <w:szCs w:val="24"/>
          <w:highlight w:val="yellow"/>
        </w:rPr>
        <w:t>trator de pneu</w:t>
      </w:r>
      <w:r>
        <w:rPr>
          <w:rFonts w:hint="default"/>
          <w:sz w:val="24"/>
          <w:szCs w:val="24"/>
          <w:highlight w:val="yellow"/>
          <w:lang w:val="pt-BR"/>
        </w:rPr>
        <w:t>,</w:t>
      </w:r>
      <w:r>
        <w:rPr>
          <w:rFonts w:hint="default"/>
          <w:sz w:val="24"/>
          <w:szCs w:val="24"/>
          <w:highlight w:val="yellow"/>
        </w:rPr>
        <w:t xml:space="preserve"> equipado com roçadeira/grade aradora, para ser utilizado no atendimento de diversos serviços realizados para o Município de Arcos/MG.</w:t>
      </w:r>
      <w:r>
        <w:rPr>
          <w:b/>
          <w:bCs/>
          <w:sz w:val="24"/>
          <w:szCs w:val="24"/>
          <w:highlight w:val="yellow"/>
        </w:rPr>
        <w:t>,</w:t>
      </w:r>
      <w:r>
        <w:rPr>
          <w:sz w:val="24"/>
          <w:szCs w:val="24"/>
        </w:rPr>
        <w:t xml:space="preserve"> nos termos da tabela abaixo, conforme condições e exigências estabelecidas neste instrumento.</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4391"/>
        <w:gridCol w:w="1009"/>
        <w:gridCol w:w="1063"/>
        <w:gridCol w:w="1282"/>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22"/>
                <w:szCs w:val="22"/>
              </w:rPr>
            </w:pPr>
            <w:r>
              <w:rPr>
                <w:rFonts w:hint="default" w:ascii="Arial" w:hAnsi="Arial" w:eastAsia="Arial" w:cs="Arial"/>
                <w:b/>
                <w:bCs/>
                <w:color w:val="000000" w:themeColor="text1"/>
                <w:sz w:val="22"/>
                <w:szCs w:val="22"/>
              </w:rPr>
              <w:t>ITEM</w:t>
            </w:r>
          </w:p>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b/>
                <w:bCs/>
                <w:sz w:val="24"/>
                <w:szCs w:val="24"/>
                <w:vertAlign w:val="baseline"/>
              </w:rPr>
            </w:pPr>
          </w:p>
        </w:tc>
        <w:tc>
          <w:tcPr>
            <w:tcW w:w="4391"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b/>
                <w:bCs/>
                <w:sz w:val="24"/>
                <w:szCs w:val="24"/>
                <w:vertAlign w:val="baseline"/>
              </w:rPr>
            </w:pPr>
            <w:r>
              <w:rPr>
                <w:rFonts w:hint="default" w:ascii="Arial" w:hAnsi="Arial" w:eastAsia="Arial" w:cs="Arial"/>
                <w:b/>
                <w:bCs/>
                <w:color w:val="000000" w:themeColor="text1"/>
                <w:sz w:val="22"/>
                <w:szCs w:val="22"/>
              </w:rPr>
              <w:t>ESPECIFICAÇÃO</w:t>
            </w:r>
            <w:r>
              <w:rPr>
                <w:rFonts w:hint="default" w:ascii="Arial" w:hAnsi="Arial" w:eastAsia="Arial" w:cs="Arial"/>
                <w:b/>
                <w:bCs/>
                <w:color w:val="000000" w:themeColor="text1"/>
                <w:sz w:val="22"/>
                <w:szCs w:val="22"/>
                <w:lang w:val="pt-BR"/>
              </w:rPr>
              <w:t xml:space="preserve"> DO SERVIÇO</w:t>
            </w:r>
          </w:p>
        </w:tc>
        <w:tc>
          <w:tcPr>
            <w:tcW w:w="1009" w:type="dxa"/>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right="-166" w:rightChars="-69"/>
              <w:jc w:val="both"/>
              <w:textAlignment w:val="auto"/>
              <w:rPr>
                <w:b/>
                <w:bCs/>
                <w:sz w:val="24"/>
                <w:szCs w:val="24"/>
                <w:vertAlign w:val="baseline"/>
              </w:rPr>
            </w:pPr>
            <w:r>
              <w:rPr>
                <w:rFonts w:hint="default" w:ascii="Arial" w:hAnsi="Arial" w:eastAsia="Arial" w:cs="Arial"/>
                <w:b/>
                <w:bCs/>
                <w:color w:val="000000" w:themeColor="text1"/>
                <w:sz w:val="22"/>
                <w:szCs w:val="22"/>
              </w:rPr>
              <w:t>MEDIDA</w:t>
            </w:r>
          </w:p>
        </w:tc>
        <w:tc>
          <w:tcPr>
            <w:tcW w:w="1063"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b/>
                <w:bCs/>
                <w:sz w:val="24"/>
                <w:szCs w:val="24"/>
                <w:vertAlign w:val="baseline"/>
              </w:rPr>
            </w:pPr>
            <w:r>
              <w:rPr>
                <w:rFonts w:hint="default" w:ascii="Arial" w:hAnsi="Arial" w:eastAsia="Arial" w:cs="Arial"/>
                <w:b/>
                <w:bCs/>
                <w:sz w:val="22"/>
                <w:szCs w:val="22"/>
              </w:rPr>
              <w:t>QUANT.</w:t>
            </w:r>
          </w:p>
        </w:tc>
        <w:tc>
          <w:tcPr>
            <w:tcW w:w="1282"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ind w:right="-228" w:rightChars="-95"/>
              <w:jc w:val="both"/>
              <w:textAlignment w:val="auto"/>
              <w:rPr>
                <w:b/>
                <w:bCs/>
                <w:sz w:val="24"/>
                <w:szCs w:val="24"/>
                <w:vertAlign w:val="baseline"/>
              </w:rPr>
            </w:pPr>
            <w:r>
              <w:rPr>
                <w:rFonts w:hint="default" w:ascii="Arial" w:hAnsi="Arial" w:eastAsia="Arial" w:cs="Arial"/>
                <w:b/>
                <w:bCs/>
                <w:sz w:val="22"/>
                <w:szCs w:val="22"/>
              </w:rPr>
              <w:t>VALOR UNITÁRIO</w:t>
            </w:r>
          </w:p>
        </w:tc>
        <w:tc>
          <w:tcPr>
            <w:tcW w:w="1128" w:type="dxa"/>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both"/>
              <w:textAlignment w:val="auto"/>
              <w:rPr>
                <w:b/>
                <w:bCs/>
                <w:sz w:val="24"/>
                <w:szCs w:val="24"/>
                <w:vertAlign w:val="baseline"/>
              </w:rPr>
            </w:pPr>
            <w:r>
              <w:rPr>
                <w:rFonts w:hint="default" w:ascii="Arial" w:hAnsi="Arial" w:eastAsia="Arial" w:cs="Arial"/>
                <w:b/>
                <w:bCs/>
                <w:sz w:val="22"/>
                <w:szCs w:val="22"/>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b/>
                <w:bCs/>
                <w:sz w:val="24"/>
                <w:szCs w:val="24"/>
                <w:vertAlign w:val="baseline"/>
              </w:rPr>
            </w:pPr>
            <w:r>
              <w:rPr>
                <w:rFonts w:hint="default" w:ascii="Arial" w:hAnsi="Arial" w:eastAsia="Arial" w:cs="Arial"/>
                <w:b/>
                <w:bCs/>
                <w:color w:val="000000" w:themeColor="text1"/>
                <w:sz w:val="22"/>
                <w:szCs w:val="22"/>
                <w:lang w:val="pt-BR"/>
              </w:rPr>
              <w:t>1</w:t>
            </w:r>
          </w:p>
        </w:tc>
        <w:tc>
          <w:tcPr>
            <w:tcW w:w="4391" w:type="dxa"/>
            <w:vAlign w:val="top"/>
          </w:tcPr>
          <w:p>
            <w:pPr>
              <w:spacing w:after="0" w:line="240" w:lineRule="auto"/>
              <w:jc w:val="both"/>
              <w:rPr>
                <w:rFonts w:hint="default" w:ascii="Arial" w:hAnsi="Arial" w:cs="Arial"/>
                <w:b w:val="0"/>
                <w:bCs w:val="0"/>
                <w:sz w:val="24"/>
                <w:szCs w:val="24"/>
                <w:vertAlign w:val="baseline"/>
                <w:lang w:val="pt-BR"/>
              </w:rPr>
            </w:pPr>
            <w:r>
              <w:rPr>
                <w:rFonts w:hint="default" w:ascii="Arial" w:hAnsi="Arial" w:cs="Arial"/>
                <w:b w:val="0"/>
                <w:bCs w:val="0"/>
                <w:sz w:val="24"/>
                <w:szCs w:val="24"/>
                <w:vertAlign w:val="baseline"/>
                <w:lang w:val="pt-BR"/>
              </w:rPr>
              <w:t>Locação de Máquina trator de pneu equipado com roçadeira/grade aradora, mínimo ano 2010, incluindo manutenção, com condutor e combustível.</w:t>
            </w:r>
          </w:p>
          <w:p>
            <w:pPr>
              <w:spacing w:after="0" w:line="240" w:lineRule="auto"/>
              <w:jc w:val="both"/>
              <w:rPr>
                <w:rFonts w:hint="default" w:ascii="Arial" w:hAnsi="Arial" w:cs="Arial"/>
                <w:b w:val="0"/>
                <w:bCs w:val="0"/>
                <w:sz w:val="24"/>
                <w:szCs w:val="24"/>
                <w:vertAlign w:val="baseline"/>
                <w:lang w:val="pt-BR"/>
              </w:rPr>
            </w:pPr>
          </w:p>
          <w:p>
            <w:pPr>
              <w:spacing w:after="0" w:line="240" w:lineRule="auto"/>
              <w:jc w:val="both"/>
              <w:rPr>
                <w:rFonts w:hint="default" w:ascii="Arial" w:hAnsi="Arial" w:cs="Arial"/>
                <w:b w:val="0"/>
                <w:bCs w:val="0"/>
                <w:sz w:val="24"/>
                <w:szCs w:val="24"/>
                <w:vertAlign w:val="baseline"/>
                <w:lang w:val="pt-BR"/>
              </w:rPr>
            </w:pPr>
            <w:r>
              <w:rPr>
                <w:rFonts w:hint="default" w:ascii="Arial" w:hAnsi="Arial" w:cs="Arial"/>
                <w:b w:val="0"/>
                <w:bCs w:val="0"/>
                <w:sz w:val="24"/>
                <w:szCs w:val="24"/>
                <w:vertAlign w:val="baseline"/>
                <w:lang w:val="pt-BR"/>
              </w:rPr>
              <w:t>Obs.: A contratante poderá solicitar até 3 tratores simultaneamente.</w:t>
            </w:r>
          </w:p>
          <w:p>
            <w:pPr>
              <w:spacing w:after="0" w:line="240" w:lineRule="auto"/>
              <w:jc w:val="both"/>
              <w:rPr>
                <w:rFonts w:hint="default"/>
                <w:b/>
                <w:bCs/>
                <w:sz w:val="24"/>
                <w:szCs w:val="24"/>
                <w:vertAlign w:val="baseline"/>
                <w:lang w:val="pt-BR"/>
              </w:rPr>
            </w:pPr>
          </w:p>
        </w:tc>
        <w:tc>
          <w:tcPr>
            <w:tcW w:w="1009" w:type="dxa"/>
            <w:vAlign w:val="center"/>
          </w:tcPr>
          <w:p>
            <w:pPr>
              <w:spacing w:after="0" w:line="240" w:lineRule="auto"/>
              <w:jc w:val="center"/>
              <w:rPr>
                <w:rFonts w:hint="default"/>
                <w:b/>
                <w:bCs/>
                <w:sz w:val="24"/>
                <w:szCs w:val="24"/>
                <w:vertAlign w:val="baseline"/>
                <w:lang w:val="pt-BR"/>
              </w:rPr>
            </w:pPr>
            <w:r>
              <w:rPr>
                <w:rFonts w:hint="default" w:ascii="Arial" w:hAnsi="Arial" w:eastAsia="Open Sans" w:cs="Arial"/>
                <w:color w:val="auto"/>
                <w:sz w:val="22"/>
                <w:szCs w:val="22"/>
                <w:lang w:val="pt-BR"/>
              </w:rPr>
              <w:t>horas</w:t>
            </w:r>
          </w:p>
        </w:tc>
        <w:tc>
          <w:tcPr>
            <w:tcW w:w="1063" w:type="dxa"/>
            <w:vAlign w:val="center"/>
          </w:tcPr>
          <w:p>
            <w:pPr>
              <w:spacing w:after="0" w:line="240" w:lineRule="auto"/>
              <w:jc w:val="center"/>
              <w:rPr>
                <w:rFonts w:hint="default"/>
                <w:b/>
                <w:bCs/>
                <w:sz w:val="24"/>
                <w:szCs w:val="24"/>
                <w:vertAlign w:val="baseline"/>
                <w:lang w:val="pt-BR"/>
              </w:rPr>
            </w:pPr>
            <w:r>
              <w:rPr>
                <w:rFonts w:hint="default" w:ascii="Arial" w:hAnsi="Arial" w:eastAsia="Open Sans" w:cs="Arial"/>
                <w:color w:val="auto"/>
                <w:sz w:val="22"/>
                <w:szCs w:val="22"/>
                <w:lang w:val="pt-BR"/>
              </w:rPr>
              <w:t>3.000</w:t>
            </w:r>
          </w:p>
        </w:tc>
        <w:tc>
          <w:tcPr>
            <w:tcW w:w="1282" w:type="dxa"/>
          </w:tcPr>
          <w:p>
            <w:pPr>
              <w:pStyle w:val="56"/>
              <w:numPr>
                <w:ilvl w:val="1"/>
                <w:numId w:val="0"/>
              </w:numPr>
              <w:spacing w:after="288" w:afterLines="120" w:line="312" w:lineRule="auto"/>
              <w:rPr>
                <w:b/>
                <w:bCs/>
                <w:sz w:val="24"/>
                <w:szCs w:val="24"/>
                <w:vertAlign w:val="baseline"/>
              </w:rPr>
            </w:pPr>
          </w:p>
        </w:tc>
        <w:tc>
          <w:tcPr>
            <w:tcW w:w="1128" w:type="dxa"/>
          </w:tcPr>
          <w:p>
            <w:pPr>
              <w:pStyle w:val="56"/>
              <w:numPr>
                <w:ilvl w:val="1"/>
                <w:numId w:val="0"/>
              </w:numPr>
              <w:spacing w:after="288" w:afterLines="120" w:line="312" w:lineRule="auto"/>
              <w:rPr>
                <w:b/>
                <w:bCs/>
                <w:sz w:val="24"/>
                <w:szCs w:val="24"/>
                <w:vertAlign w:val="baseline"/>
              </w:rPr>
            </w:pPr>
          </w:p>
        </w:tc>
      </w:tr>
    </w:tbl>
    <w:p>
      <w:pPr>
        <w:pStyle w:val="56"/>
        <w:spacing w:after="288" w:afterLines="120" w:line="312" w:lineRule="auto"/>
        <w:ind w:firstLine="709"/>
        <w:rPr>
          <w:sz w:val="24"/>
          <w:szCs w:val="24"/>
          <w:highlight w:val="yellow"/>
        </w:rPr>
      </w:pPr>
      <w:r>
        <w:rPr>
          <w:sz w:val="24"/>
          <w:szCs w:val="24"/>
          <w:highlight w:val="yellow"/>
        </w:rPr>
        <w:t>O objeto desta contratação não se enquadra como sendo de bem de luxo.</w:t>
      </w:r>
    </w:p>
    <w:p>
      <w:pPr>
        <w:pStyle w:val="56"/>
        <w:spacing w:after="288" w:afterLines="120" w:line="312" w:lineRule="auto"/>
        <w:ind w:firstLine="709"/>
        <w:rPr>
          <w:sz w:val="24"/>
          <w:szCs w:val="24"/>
        </w:rPr>
      </w:pPr>
      <w:r>
        <w:rPr>
          <w:sz w:val="24"/>
          <w:szCs w:val="24"/>
        </w:rPr>
        <w:t>O</w:t>
      </w:r>
      <w:r>
        <w:rPr>
          <w:rFonts w:hint="default"/>
          <w:sz w:val="24"/>
          <w:szCs w:val="24"/>
          <w:lang w:val="pt-BR"/>
        </w:rPr>
        <w:t xml:space="preserve">s </w:t>
      </w:r>
      <w:r>
        <w:rPr>
          <w:sz w:val="24"/>
          <w:szCs w:val="24"/>
        </w:rPr>
        <w:t>objeto</w:t>
      </w:r>
      <w:r>
        <w:rPr>
          <w:rFonts w:hint="default"/>
          <w:sz w:val="24"/>
          <w:szCs w:val="24"/>
          <w:lang w:val="pt-BR"/>
        </w:rPr>
        <w:t>s</w:t>
      </w:r>
      <w:r>
        <w:rPr>
          <w:sz w:val="24"/>
          <w:szCs w:val="24"/>
        </w:rPr>
        <w:t xml:space="preserve"> desta contratação são caracterizados como comuns, conforme justificativa constante do Estudo Técnico Preliminar.</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O prazo de vigência da contratação é de </w:t>
      </w:r>
      <w:r>
        <w:rPr>
          <w:rFonts w:hint="default"/>
          <w:i w:val="0"/>
          <w:iCs w:val="0"/>
          <w:color w:val="auto"/>
          <w:sz w:val="24"/>
          <w:szCs w:val="24"/>
          <w:highlight w:val="yellow"/>
          <w:lang w:val="pt-BR"/>
        </w:rPr>
        <w:t>12 (doze)</w:t>
      </w:r>
      <w:r>
        <w:rPr>
          <w:i w:val="0"/>
          <w:iCs w:val="0"/>
          <w:color w:val="auto"/>
          <w:sz w:val="24"/>
          <w:szCs w:val="24"/>
          <w:highlight w:val="yellow"/>
        </w:rPr>
        <w:t xml:space="preserve"> </w:t>
      </w:r>
      <w:r>
        <w:rPr>
          <w:rFonts w:hint="default"/>
          <w:i w:val="0"/>
          <w:iCs w:val="0"/>
          <w:color w:val="auto"/>
          <w:sz w:val="24"/>
          <w:szCs w:val="24"/>
          <w:highlight w:val="yellow"/>
          <w:lang w:val="pt-BR"/>
        </w:rPr>
        <w:t xml:space="preserve">meses </w:t>
      </w:r>
      <w:r>
        <w:rPr>
          <w:i w:val="0"/>
          <w:iCs w:val="0"/>
          <w:color w:val="auto"/>
          <w:sz w:val="24"/>
          <w:szCs w:val="24"/>
          <w:highlight w:val="yellow"/>
        </w:rPr>
        <w:t>contados d</w:t>
      </w:r>
      <w:r>
        <w:rPr>
          <w:rFonts w:hint="default"/>
          <w:i w:val="0"/>
          <w:iCs w:val="0"/>
          <w:color w:val="auto"/>
          <w:sz w:val="24"/>
          <w:szCs w:val="24"/>
          <w:highlight w:val="yellow"/>
          <w:lang w:val="pt-BR"/>
        </w:rPr>
        <w:t>a homologação do contrato</w:t>
      </w:r>
      <w:r>
        <w:rPr>
          <w:i w:val="0"/>
          <w:iCs w:val="0"/>
          <w:color w:val="auto"/>
          <w:sz w:val="24"/>
          <w:szCs w:val="24"/>
          <w:highlight w:val="yellow"/>
        </w:rPr>
        <w:t xml:space="preserve"> na forma do artigo 105 da Lei n° 14.133, de 2021.</w:t>
      </w:r>
    </w:p>
    <w:p>
      <w:pPr>
        <w:pStyle w:val="56"/>
        <w:spacing w:after="288" w:afterLines="120" w:line="312" w:lineRule="auto"/>
        <w:ind w:firstLine="709"/>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firstLine="709"/>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56"/>
        <w:spacing w:after="288" w:afterLines="120" w:line="312" w:lineRule="auto"/>
        <w:ind w:firstLine="709"/>
        <w:rPr>
          <w:sz w:val="24"/>
          <w:szCs w:val="24"/>
        </w:rPr>
      </w:pPr>
      <w:r>
        <w:rPr>
          <w:sz w:val="24"/>
          <w:szCs w:val="24"/>
          <w:highlight w:val="yellow"/>
        </w:rPr>
        <w:t xml:space="preserve">O objeto da contratação está previsto no Plano de Contratações Anual  de </w:t>
      </w:r>
      <w:r>
        <w:rPr>
          <w:rFonts w:hint="default"/>
          <w:color w:val="auto"/>
          <w:sz w:val="24"/>
          <w:szCs w:val="24"/>
          <w:highlight w:val="yellow"/>
        </w:rPr>
        <w:t>20</w:t>
      </w:r>
      <w:r>
        <w:rPr>
          <w:rFonts w:hint="default"/>
          <w:color w:val="auto"/>
          <w:sz w:val="24"/>
          <w:szCs w:val="24"/>
          <w:highlight w:val="yellow"/>
          <w:lang w:val="pt-BR"/>
        </w:rPr>
        <w:t>24</w:t>
      </w:r>
      <w:r>
        <w:rPr>
          <w:rFonts w:hint="default"/>
          <w:color w:val="auto"/>
          <w:sz w:val="24"/>
          <w:szCs w:val="24"/>
          <w:highlight w:val="yellow"/>
        </w:rPr>
        <w:t xml:space="preserve"> </w:t>
      </w:r>
      <w:r>
        <w:rPr>
          <w:rFonts w:hint="default"/>
          <w:color w:val="auto"/>
          <w:sz w:val="24"/>
          <w:szCs w:val="24"/>
          <w:highlight w:val="yellow"/>
          <w:lang w:val="pt-BR"/>
        </w:rPr>
        <w:t xml:space="preserve">previstas em: </w:t>
      </w:r>
      <w:r>
        <w:rPr>
          <w:rFonts w:hint="default"/>
          <w:color w:val="auto"/>
          <w:sz w:val="24"/>
          <w:szCs w:val="24"/>
          <w:highlight w:val="yellow"/>
        </w:rPr>
        <w:t xml:space="preserve"> locação de máquinas e equipamentos.</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firstLine="709"/>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9"/>
        <w:spacing w:before="120" w:after="288" w:afterLines="120" w:line="312" w:lineRule="auto"/>
        <w:ind w:left="0"/>
        <w:rPr>
          <w:color w:val="auto"/>
          <w:sz w:val="24"/>
          <w:szCs w:val="24"/>
          <w:highlight w:val="yellow"/>
        </w:rPr>
      </w:pPr>
      <w:r>
        <w:rPr>
          <w:color w:val="auto"/>
          <w:sz w:val="24"/>
          <w:szCs w:val="24"/>
          <w:highlight w:val="yellow"/>
        </w:rPr>
        <w:t>Subcontratação</w:t>
      </w:r>
    </w:p>
    <w:p>
      <w:pPr>
        <w:pStyle w:val="56"/>
        <w:spacing w:after="288" w:afterLines="120" w:line="312" w:lineRule="auto"/>
        <w:ind w:firstLine="709"/>
        <w:rPr>
          <w:color w:val="auto"/>
          <w:sz w:val="24"/>
          <w:szCs w:val="24"/>
          <w:highlight w:val="yellow"/>
        </w:rPr>
      </w:pPr>
      <w:r>
        <w:rPr>
          <w:color w:val="auto"/>
          <w:sz w:val="24"/>
          <w:szCs w:val="24"/>
          <w:highlight w:val="yellow"/>
        </w:rPr>
        <w:t>Não é admitida a subcontratação do objeto contratual.</w:t>
      </w:r>
    </w:p>
    <w:p>
      <w:pPr>
        <w:pStyle w:val="109"/>
        <w:spacing w:before="120" w:after="288" w:afterLines="120" w:line="312" w:lineRule="auto"/>
        <w:rPr>
          <w:color w:val="auto"/>
          <w:sz w:val="24"/>
          <w:szCs w:val="24"/>
          <w:highlight w:val="yellow"/>
        </w:rPr>
      </w:pPr>
      <w:r>
        <w:rPr>
          <w:color w:val="auto"/>
          <w:sz w:val="24"/>
          <w:szCs w:val="24"/>
          <w:highlight w:val="yellow"/>
        </w:rPr>
        <w:t>Garantia da contratação</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Não haverá exigência da garantia da contratação dos </w:t>
      </w:r>
      <w:r>
        <w:fldChar w:fldCharType="begin"/>
      </w:r>
      <w:r>
        <w:instrText xml:space="preserve"> HYPERLINK "http://www.planalto.gov.br/ccivil_03/_ato2019-2022/2021/lei/L14133.htm" \l "art96" </w:instrText>
      </w:r>
      <w:r>
        <w:fldChar w:fldCharType="separate"/>
      </w:r>
      <w:r>
        <w:rPr>
          <w:rStyle w:val="13"/>
          <w:i w:val="0"/>
          <w:iCs w:val="0"/>
          <w:color w:val="auto"/>
          <w:sz w:val="24"/>
          <w:szCs w:val="24"/>
        </w:rPr>
        <w:t>artigos 96 e seguintes da Lei nº 14.133, de 2021</w:t>
      </w:r>
      <w:r>
        <w:rPr>
          <w:rStyle w:val="13"/>
          <w:i w:val="0"/>
          <w:iCs w:val="0"/>
          <w:color w:val="auto"/>
          <w:sz w:val="24"/>
          <w:szCs w:val="24"/>
        </w:rPr>
        <w:fldChar w:fldCharType="end"/>
      </w:r>
      <w:r>
        <w:rPr>
          <w:i w:val="0"/>
          <w:iCs w:val="0"/>
          <w:color w:val="auto"/>
          <w:sz w:val="24"/>
          <w:szCs w:val="24"/>
          <w:highlight w:val="yellow"/>
        </w:rPr>
        <w:t>, pelas razões constantes do Estudo Técnico Preliminar.</w:t>
      </w:r>
    </w:p>
    <w:p>
      <w:pPr>
        <w:pStyle w:val="39"/>
        <w:spacing w:before="120" w:after="288" w:afterLines="120" w:line="312" w:lineRule="auto"/>
        <w:rPr>
          <w:sz w:val="24"/>
          <w:szCs w:val="24"/>
        </w:rPr>
      </w:pPr>
      <w:r>
        <w:rPr>
          <w:sz w:val="24"/>
          <w:szCs w:val="24"/>
        </w:rPr>
        <w:t>MODELO DE EXECUÇÃO DO OBJETO</w:t>
      </w:r>
    </w:p>
    <w:p>
      <w:pPr>
        <w:pStyle w:val="109"/>
        <w:spacing w:before="120" w:after="288" w:afterLines="120" w:line="312" w:lineRule="auto"/>
        <w:rPr>
          <w:rFonts w:hint="default"/>
          <w:color w:val="000000" w:themeColor="text1"/>
          <w:sz w:val="24"/>
          <w:szCs w:val="24"/>
          <w:highlight w:val="yellow"/>
          <w:lang w:val="pt-BR"/>
        </w:rPr>
      </w:pPr>
      <w:r>
        <w:rPr>
          <w:color w:val="000000" w:themeColor="text1"/>
          <w:sz w:val="24"/>
          <w:szCs w:val="24"/>
          <w:highlight w:val="yellow"/>
        </w:rPr>
        <w:t xml:space="preserve">Condições de </w:t>
      </w:r>
      <w:r>
        <w:rPr>
          <w:rFonts w:hint="default"/>
          <w:color w:val="000000" w:themeColor="text1"/>
          <w:sz w:val="24"/>
          <w:szCs w:val="24"/>
          <w:highlight w:val="yellow"/>
          <w:lang w:val="pt-BR"/>
        </w:rPr>
        <w:t>Apresentação do Equipamento</w:t>
      </w:r>
    </w:p>
    <w:p>
      <w:pPr>
        <w:pStyle w:val="56"/>
        <w:spacing w:after="288" w:afterLines="120" w:line="312" w:lineRule="auto"/>
        <w:ind w:firstLine="709"/>
        <w:rPr>
          <w:sz w:val="24"/>
          <w:szCs w:val="24"/>
          <w:highlight w:val="yellow"/>
        </w:rPr>
      </w:pPr>
      <w:r>
        <w:rPr>
          <w:sz w:val="24"/>
          <w:szCs w:val="24"/>
          <w:highlight w:val="yellow"/>
        </w:rPr>
        <w:t xml:space="preserve">Os bens deverão ser </w:t>
      </w:r>
      <w:r>
        <w:rPr>
          <w:rFonts w:hint="default"/>
          <w:sz w:val="24"/>
          <w:szCs w:val="24"/>
          <w:highlight w:val="yellow"/>
          <w:lang w:val="pt-BR"/>
        </w:rPr>
        <w:t xml:space="preserve">apresentados </w:t>
      </w:r>
      <w:r>
        <w:rPr>
          <w:sz w:val="24"/>
          <w:szCs w:val="24"/>
          <w:highlight w:val="yellow"/>
        </w:rPr>
        <w:t xml:space="preserve">no endereço </w:t>
      </w:r>
      <w:r>
        <w:rPr>
          <w:rFonts w:hint="default"/>
          <w:sz w:val="24"/>
          <w:szCs w:val="24"/>
          <w:highlight w:val="yellow"/>
          <w:lang w:val="pt-BR"/>
        </w:rPr>
        <w:t xml:space="preserve">fornecido na </w:t>
      </w:r>
      <w:r>
        <w:rPr>
          <w:rFonts w:hint="default"/>
          <w:i w:val="0"/>
          <w:iCs w:val="0"/>
          <w:color w:val="auto"/>
          <w:sz w:val="24"/>
          <w:szCs w:val="24"/>
          <w:highlight w:val="yellow"/>
        </w:rPr>
        <w:t xml:space="preserve"> ordem de </w:t>
      </w:r>
      <w:r>
        <w:rPr>
          <w:rFonts w:hint="default"/>
          <w:i w:val="0"/>
          <w:iCs w:val="0"/>
          <w:color w:val="auto"/>
          <w:sz w:val="24"/>
          <w:szCs w:val="24"/>
          <w:highlight w:val="yellow"/>
          <w:lang w:val="pt-BR"/>
        </w:rPr>
        <w:t>serviço.</w:t>
      </w:r>
    </w:p>
    <w:p>
      <w:pPr>
        <w:pStyle w:val="56"/>
        <w:spacing w:after="288" w:afterLines="120" w:line="312" w:lineRule="auto"/>
        <w:ind w:firstLine="709"/>
        <w:rPr>
          <w:sz w:val="24"/>
          <w:szCs w:val="24"/>
          <w:highlight w:val="yellow"/>
        </w:rPr>
      </w:pPr>
      <w:r>
        <w:rPr>
          <w:rFonts w:hint="default"/>
          <w:i w:val="0"/>
          <w:iCs w:val="0"/>
          <w:color w:val="auto"/>
          <w:sz w:val="24"/>
          <w:szCs w:val="24"/>
          <w:highlight w:val="yellow"/>
          <w:lang w:val="pt-BR"/>
        </w:rPr>
        <w:t>Deverá estar totalmente abastecido e em plenas condições de uso.</w:t>
      </w:r>
    </w:p>
    <w:p>
      <w:pPr>
        <w:pStyle w:val="109"/>
        <w:spacing w:before="120" w:after="288" w:afterLines="120" w:line="312" w:lineRule="auto"/>
        <w:rPr>
          <w:color w:val="auto"/>
          <w:sz w:val="24"/>
          <w:szCs w:val="24"/>
          <w:highlight w:val="yellow"/>
        </w:rPr>
      </w:pPr>
      <w:r>
        <w:rPr>
          <w:color w:val="auto"/>
          <w:sz w:val="24"/>
          <w:szCs w:val="24"/>
          <w:highlight w:val="yellow"/>
        </w:rPr>
        <w:t xml:space="preserve">Garantia, manutenção e assistência técnica </w:t>
      </w:r>
    </w:p>
    <w:p>
      <w:pPr>
        <w:pStyle w:val="56"/>
        <w:spacing w:after="288" w:afterLines="120" w:line="312" w:lineRule="auto"/>
        <w:rPr>
          <w:sz w:val="24"/>
          <w:szCs w:val="24"/>
          <w:highlight w:val="yellow"/>
        </w:rPr>
      </w:pPr>
      <w:r>
        <w:rPr>
          <w:sz w:val="24"/>
          <w:szCs w:val="24"/>
          <w:highlight w:val="yellow"/>
        </w:rPr>
        <w:t xml:space="preserve">O prazo de garantia é aquele estabelecido na Lei nº 8.078, de 11 de setembro de 1990 (Código de Defesa do Consumidor)  </w:t>
      </w:r>
    </w:p>
    <w:p>
      <w:pPr>
        <w:pStyle w:val="109"/>
        <w:spacing w:before="120" w:after="288" w:afterLines="120" w:line="312" w:lineRule="auto"/>
        <w:rPr>
          <w:color w:val="000000" w:themeColor="text1"/>
          <w:sz w:val="24"/>
          <w:szCs w:val="24"/>
          <w:highlight w:val="yellow"/>
        </w:rPr>
      </w:pPr>
      <w:r>
        <w:rPr>
          <w:color w:val="000000" w:themeColor="text1"/>
          <w:sz w:val="24"/>
          <w:szCs w:val="24"/>
          <w:highlight w:val="yellow"/>
        </w:rPr>
        <w:t>Condições de serviços</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O prazo de </w:t>
      </w:r>
      <w:r>
        <w:rPr>
          <w:i w:val="0"/>
          <w:iCs w:val="0"/>
          <w:color w:val="auto"/>
          <w:sz w:val="24"/>
          <w:szCs w:val="24"/>
          <w:highlight w:val="yellow"/>
          <w:lang w:val="pt-BR"/>
        </w:rPr>
        <w:t>inicio</w:t>
      </w:r>
      <w:r>
        <w:rPr>
          <w:rFonts w:hint="default"/>
          <w:i w:val="0"/>
          <w:iCs w:val="0"/>
          <w:color w:val="auto"/>
          <w:sz w:val="24"/>
          <w:szCs w:val="24"/>
          <w:highlight w:val="yellow"/>
          <w:lang w:val="pt-BR"/>
        </w:rPr>
        <w:t xml:space="preserve"> da </w:t>
      </w:r>
      <w:r>
        <w:rPr>
          <w:i w:val="0"/>
          <w:iCs w:val="0"/>
          <w:color w:val="auto"/>
          <w:sz w:val="24"/>
          <w:szCs w:val="24"/>
          <w:highlight w:val="yellow"/>
        </w:rPr>
        <w:t xml:space="preserve">execução do serviço é de </w:t>
      </w:r>
      <w:r>
        <w:rPr>
          <w:rFonts w:hint="default"/>
          <w:i w:val="0"/>
          <w:iCs w:val="0"/>
          <w:color w:val="auto"/>
          <w:sz w:val="24"/>
          <w:szCs w:val="24"/>
          <w:highlight w:val="yellow"/>
          <w:lang w:val="pt-BR"/>
        </w:rPr>
        <w:t>02</w:t>
      </w:r>
      <w:r>
        <w:rPr>
          <w:i w:val="0"/>
          <w:iCs w:val="0"/>
          <w:color w:val="auto"/>
          <w:sz w:val="24"/>
          <w:szCs w:val="24"/>
          <w:highlight w:val="yellow"/>
        </w:rPr>
        <w:t xml:space="preserve"> dias</w:t>
      </w:r>
      <w:r>
        <w:rPr>
          <w:rFonts w:hint="default"/>
          <w:i w:val="0"/>
          <w:iCs w:val="0"/>
          <w:color w:val="auto"/>
          <w:sz w:val="24"/>
          <w:szCs w:val="24"/>
          <w:highlight w:val="yellow"/>
          <w:lang w:val="pt-BR"/>
        </w:rPr>
        <w:t xml:space="preserve"> úteis</w:t>
      </w:r>
      <w:r>
        <w:rPr>
          <w:i w:val="0"/>
          <w:iCs w:val="0"/>
          <w:color w:val="auto"/>
          <w:sz w:val="24"/>
          <w:szCs w:val="24"/>
          <w:highlight w:val="yellow"/>
        </w:rPr>
        <w:t>, contados d</w:t>
      </w:r>
      <w:r>
        <w:rPr>
          <w:rFonts w:hint="default"/>
          <w:i w:val="0"/>
          <w:iCs w:val="0"/>
          <w:color w:val="auto"/>
          <w:sz w:val="24"/>
          <w:szCs w:val="24"/>
          <w:highlight w:val="yellow"/>
          <w:lang w:val="pt-BR"/>
        </w:rPr>
        <w:t>o recebimento da ordem de serviço</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 xml:space="preserve"> A contagem da </w:t>
      </w:r>
      <w:r>
        <w:rPr>
          <w:rFonts w:hint="default"/>
          <w:i w:val="0"/>
          <w:iCs w:val="0"/>
          <w:color w:val="auto"/>
          <w:sz w:val="24"/>
          <w:szCs w:val="24"/>
          <w:highlight w:val="yellow"/>
          <w:lang w:val="pt-BR"/>
        </w:rPr>
        <w:t xml:space="preserve">hora </w:t>
      </w:r>
      <w:r>
        <w:rPr>
          <w:rFonts w:hint="default"/>
          <w:i w:val="0"/>
          <w:iCs w:val="0"/>
          <w:color w:val="auto"/>
          <w:sz w:val="24"/>
          <w:szCs w:val="24"/>
          <w:highlight w:val="yellow"/>
        </w:rPr>
        <w:t>iniciará no momento da entrega do item e terminará no momento de retirada, o qual deverá ser agendada diretamente com a preponente vencedora, em casos de atrasos por parte da empresa, não poderá ser contabilizada nov</w:t>
      </w:r>
      <w:r>
        <w:rPr>
          <w:rFonts w:hint="default"/>
          <w:i w:val="0"/>
          <w:iCs w:val="0"/>
          <w:color w:val="auto"/>
          <w:sz w:val="24"/>
          <w:szCs w:val="24"/>
          <w:highlight w:val="yellow"/>
          <w:lang w:val="pt-BR"/>
        </w:rPr>
        <w:t>o acumulo de horas</w:t>
      </w:r>
      <w:r>
        <w:rPr>
          <w:rFonts w:hint="default"/>
          <w:i w:val="0"/>
          <w:iCs w:val="0"/>
          <w:color w:val="auto"/>
          <w:sz w:val="24"/>
          <w:szCs w:val="24"/>
          <w:highlight w:val="yellow"/>
        </w:rPr>
        <w:t>.</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 xml:space="preserve">Em relação aos itens os locais de execução do serviço serão designados pelas secretarias requisitantes, </w:t>
      </w:r>
      <w:r>
        <w:rPr>
          <w:rFonts w:hint="default"/>
          <w:i w:val="0"/>
          <w:iCs w:val="0"/>
          <w:color w:val="auto"/>
          <w:sz w:val="24"/>
          <w:szCs w:val="24"/>
          <w:highlight w:val="yellow"/>
          <w:lang w:val="pt-BR"/>
        </w:rPr>
        <w:t xml:space="preserve">na área urbana ou em </w:t>
      </w:r>
      <w:r>
        <w:rPr>
          <w:rFonts w:hint="default"/>
          <w:i w:val="0"/>
          <w:iCs w:val="0"/>
          <w:color w:val="auto"/>
          <w:sz w:val="24"/>
          <w:szCs w:val="24"/>
          <w:highlight w:val="yellow"/>
        </w:rPr>
        <w:t xml:space="preserve"> zonas rurais do município</w:t>
      </w:r>
      <w:r>
        <w:rPr>
          <w:rFonts w:hint="default"/>
          <w:i w:val="0"/>
          <w:iCs w:val="0"/>
          <w:color w:val="auto"/>
          <w:sz w:val="24"/>
          <w:szCs w:val="24"/>
          <w:highlight w:val="yellow"/>
          <w:lang w:val="pt-BR"/>
        </w:rPr>
        <w:t xml:space="preserve"> com distancia de até 20km do perímetro urbano</w:t>
      </w:r>
      <w:r>
        <w:rPr>
          <w:rFonts w:hint="default"/>
          <w:i w:val="0"/>
          <w:iCs w:val="0"/>
          <w:color w:val="auto"/>
          <w:sz w:val="24"/>
          <w:szCs w:val="24"/>
          <w:highlight w:val="yellow"/>
        </w:rPr>
        <w:t>.</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Os veículos deverão ser apresentados, juntamente com o respectivo motorista/operador,</w:t>
      </w:r>
      <w:r>
        <w:rPr>
          <w:rFonts w:hint="default"/>
          <w:i w:val="0"/>
          <w:iCs w:val="0"/>
          <w:color w:val="auto"/>
          <w:sz w:val="24"/>
          <w:szCs w:val="24"/>
          <w:highlight w:val="yellow"/>
          <w:lang w:val="pt-BR"/>
        </w:rPr>
        <w:t xml:space="preserve"> </w:t>
      </w:r>
      <w:r>
        <w:rPr>
          <w:rFonts w:hint="default"/>
          <w:i w:val="0"/>
          <w:iCs w:val="0"/>
          <w:color w:val="auto"/>
          <w:sz w:val="24"/>
          <w:szCs w:val="24"/>
          <w:highlight w:val="yellow"/>
        </w:rPr>
        <w:t>sendo que os mesmos devem estar portando os documentos obrigatórios referente ao veículo e documento de habilitação do motorista/operador.</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 xml:space="preserve">Será considerada horas trabalhadas, o horário compreendido da apresentação do(s) veículo(s) e o de sua liberação pela Prefeitura Municipal de </w:t>
      </w:r>
      <w:r>
        <w:rPr>
          <w:rFonts w:hint="default"/>
          <w:i w:val="0"/>
          <w:iCs w:val="0"/>
          <w:color w:val="auto"/>
          <w:sz w:val="24"/>
          <w:szCs w:val="24"/>
          <w:highlight w:val="yellow"/>
          <w:lang w:val="pt-BR"/>
        </w:rPr>
        <w:t>Arcos-MG</w:t>
      </w:r>
      <w:r>
        <w:rPr>
          <w:rFonts w:hint="default"/>
          <w:i w:val="0"/>
          <w:iCs w:val="0"/>
          <w:color w:val="auto"/>
          <w:sz w:val="24"/>
          <w:szCs w:val="24"/>
          <w:highlight w:val="yellow"/>
        </w:rPr>
        <w:t>, descontadas as horas destinadas às refeições dos motoristas.</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A empresa deverá manter os veículos em perfeitas condições de uso, bem como a realização de manutenções preventivas e corretivas, e em caso de necessidade da substituição do veículo ou do operador que impeça a execução dos trabalhos, a empresa vencedora deverá providenciar a devida substituição no prazo máximo de 24 (vinte e quatro) horas.</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O serviço da locação de máquinas com os respectivos operadores, poderão ser realizadas de segunda a domingo, se necessário, em horário comercial.</w:t>
      </w:r>
    </w:p>
    <w:p>
      <w:pPr>
        <w:pStyle w:val="103"/>
        <w:spacing w:after="288" w:afterLines="120" w:line="312" w:lineRule="auto"/>
        <w:ind w:firstLine="709"/>
        <w:rPr>
          <w:sz w:val="24"/>
          <w:szCs w:val="24"/>
          <w:highlight w:val="yellow"/>
        </w:rPr>
      </w:pPr>
      <w:r>
        <w:rPr>
          <w:rFonts w:hint="default"/>
          <w:i w:val="0"/>
          <w:iCs w:val="0"/>
          <w:color w:val="auto"/>
          <w:sz w:val="24"/>
          <w:szCs w:val="24"/>
          <w:highlight w:val="yellow"/>
        </w:rPr>
        <w:t xml:space="preserve">A licitante vencedora deverá entregar mensalmente até o dia </w:t>
      </w:r>
      <w:r>
        <w:rPr>
          <w:rFonts w:hint="default"/>
          <w:i w:val="0"/>
          <w:iCs w:val="0"/>
          <w:color w:val="auto"/>
          <w:sz w:val="24"/>
          <w:szCs w:val="24"/>
          <w:highlight w:val="yellow"/>
          <w:lang w:val="pt-BR"/>
        </w:rPr>
        <w:t xml:space="preserve">quinto dia util </w:t>
      </w:r>
      <w:r>
        <w:rPr>
          <w:rFonts w:hint="default"/>
          <w:i w:val="0"/>
          <w:iCs w:val="0"/>
          <w:color w:val="auto"/>
          <w:sz w:val="24"/>
          <w:szCs w:val="24"/>
          <w:highlight w:val="yellow"/>
        </w:rPr>
        <w:t xml:space="preserve">de cada mês </w:t>
      </w:r>
      <w:r>
        <w:rPr>
          <w:rFonts w:hint="default"/>
          <w:i w:val="0"/>
          <w:iCs w:val="0"/>
          <w:color w:val="auto"/>
          <w:sz w:val="24"/>
          <w:szCs w:val="24"/>
          <w:highlight w:val="yellow"/>
          <w:lang w:val="pt-BR"/>
        </w:rPr>
        <w:t>o relatório de a</w:t>
      </w:r>
      <w:r>
        <w:rPr>
          <w:rFonts w:hint="default"/>
          <w:i w:val="0"/>
          <w:iCs w:val="0"/>
          <w:color w:val="auto"/>
          <w:sz w:val="24"/>
          <w:szCs w:val="24"/>
          <w:highlight w:val="yellow"/>
        </w:rPr>
        <w:t>tendimento das horas mensais solicitadas pela contratante através da autorização de fornecimento e a execução dos serviços deverá atender as normas técnicas de legislação ambiental vigente;</w:t>
      </w:r>
    </w:p>
    <w:p>
      <w:pPr>
        <w:pStyle w:val="103"/>
        <w:spacing w:after="288" w:afterLines="120" w:line="312" w:lineRule="auto"/>
        <w:ind w:firstLine="709"/>
        <w:rPr>
          <w:i w:val="0"/>
          <w:iCs w:val="0"/>
          <w:color w:val="auto"/>
          <w:sz w:val="24"/>
          <w:szCs w:val="24"/>
          <w:highlight w:val="yellow"/>
        </w:rPr>
      </w:pPr>
      <w:r>
        <w:rPr>
          <w:rFonts w:hint="default"/>
          <w:i w:val="0"/>
          <w:iCs w:val="0"/>
          <w:color w:val="auto"/>
          <w:sz w:val="24"/>
          <w:szCs w:val="24"/>
          <w:highlight w:val="yellow"/>
        </w:rPr>
        <w:t>A empresa vencedora dos itens que requerem mão de obra, deverão fornecer os devidos equipamentos de proteção individual (EPI) aos seus funcionários durante a execução dos serviços prestados</w:t>
      </w:r>
      <w:r>
        <w:rPr>
          <w:rFonts w:hint="default"/>
          <w:i w:val="0"/>
          <w:iCs w:val="0"/>
          <w:color w:val="auto"/>
          <w:sz w:val="24"/>
          <w:szCs w:val="24"/>
          <w:highlight w:val="yellow"/>
          <w:lang w:val="pt-BR"/>
        </w:rPr>
        <w:t>.</w:t>
      </w:r>
    </w:p>
    <w:p>
      <w:pPr>
        <w:pStyle w:val="103"/>
        <w:spacing w:after="288" w:afterLines="120" w:line="312" w:lineRule="auto"/>
        <w:ind w:firstLine="709"/>
        <w:rPr>
          <w:i w:val="0"/>
          <w:iCs w:val="0"/>
          <w:color w:val="auto"/>
          <w:sz w:val="24"/>
          <w:szCs w:val="24"/>
          <w:highlight w:val="yellow"/>
        </w:rPr>
      </w:pPr>
      <w:r>
        <w:rPr>
          <w:rFonts w:hint="default"/>
          <w:i w:val="0"/>
          <w:iCs w:val="0"/>
          <w:color w:val="auto"/>
          <w:sz w:val="24"/>
          <w:szCs w:val="24"/>
          <w:highlight w:val="yellow"/>
        </w:rPr>
        <w:t>Em relação a locação d</w:t>
      </w:r>
      <w:r>
        <w:rPr>
          <w:rFonts w:hint="default"/>
          <w:i w:val="0"/>
          <w:iCs w:val="0"/>
          <w:color w:val="auto"/>
          <w:sz w:val="24"/>
          <w:szCs w:val="24"/>
          <w:highlight w:val="yellow"/>
          <w:lang w:val="pt-BR"/>
        </w:rPr>
        <w:t>e veículos com Operador</w:t>
      </w:r>
      <w:r>
        <w:rPr>
          <w:rFonts w:hint="default"/>
          <w:i w:val="0"/>
          <w:iCs w:val="0"/>
          <w:color w:val="auto"/>
          <w:sz w:val="24"/>
          <w:szCs w:val="24"/>
          <w:highlight w:val="yellow"/>
        </w:rPr>
        <w:t>, qualquer dano ambiental ou material causado durante os serviços da contratada por seus operadores ou máquinas será de responsabilidade da empresa, bem como a reconstrução ou ressarcimento necessários, não havendo custos adicionais ao município.</w:t>
      </w:r>
    </w:p>
    <w:p>
      <w:pPr>
        <w:pStyle w:val="103"/>
        <w:spacing w:after="288" w:afterLines="120" w:line="312" w:lineRule="auto"/>
        <w:ind w:firstLine="709"/>
        <w:rPr>
          <w:i w:val="0"/>
          <w:iCs w:val="0"/>
          <w:color w:val="auto"/>
          <w:sz w:val="24"/>
          <w:szCs w:val="24"/>
          <w:highlight w:val="yellow"/>
        </w:rPr>
      </w:pPr>
      <w:r>
        <w:rPr>
          <w:rFonts w:hint="default"/>
          <w:i w:val="0"/>
          <w:iCs w:val="0"/>
          <w:color w:val="auto"/>
          <w:sz w:val="24"/>
          <w:szCs w:val="24"/>
          <w:highlight w:val="yellow"/>
          <w:lang w:val="pt-BR"/>
        </w:rPr>
        <w:t>Todas as despesas oriundas com o operador/motoristas, como diárias, refeições, taxas, etc. serão de responsabilidade da Contratada.</w:t>
      </w:r>
    </w:p>
    <w:p>
      <w:pPr>
        <w:pStyle w:val="39"/>
        <w:spacing w:before="120" w:after="288" w:afterLines="120" w:line="312" w:lineRule="auto"/>
        <w:rPr>
          <w:sz w:val="24"/>
          <w:szCs w:val="24"/>
        </w:rPr>
      </w:pPr>
      <w:r>
        <w:rPr>
          <w:sz w:val="24"/>
          <w:szCs w:val="24"/>
        </w:rPr>
        <w:t>MODELO DE GESTÃO DO CONTRATO</w:t>
      </w:r>
    </w:p>
    <w:p>
      <w:pPr>
        <w:pStyle w:val="56"/>
        <w:spacing w:after="288" w:afterLines="120" w:line="312" w:lineRule="auto"/>
        <w:ind w:firstLine="709"/>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firstLine="709"/>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firstLine="709"/>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firstLine="709"/>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firstLine="709"/>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firstLine="709"/>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sendo indicado para a presente contratação o servidor</w:t>
      </w:r>
      <w:r>
        <w:rPr>
          <w:rFonts w:hint="default"/>
          <w:sz w:val="24"/>
          <w:szCs w:val="24"/>
          <w:lang w:val="pt-BR"/>
        </w:rPr>
        <w:t xml:space="preserve"> Tania Cristina de Castro </w:t>
      </w:r>
      <w:r>
        <w:rPr>
          <w:rFonts w:hint="default" w:cs="Arial"/>
          <w:sz w:val="24"/>
          <w:szCs w:val="24"/>
          <w:lang w:val="pt-BR"/>
        </w:rPr>
        <w:t xml:space="preserve">MASP  </w:t>
      </w:r>
      <w:r>
        <w:rPr>
          <w:rFonts w:hint="default"/>
          <w:sz w:val="24"/>
          <w:szCs w:val="24"/>
          <w:lang w:val="pt-BR"/>
        </w:rPr>
        <w:t xml:space="preserve">150013/9 </w:t>
      </w:r>
      <w:bookmarkStart w:id="2" w:name="_GoBack"/>
      <w:bookmarkEnd w:id="2"/>
      <w:r>
        <w:rPr>
          <w:rFonts w:hint="default" w:ascii="Arial" w:hAnsi="Arial" w:cs="Arial"/>
          <w:i w:val="0"/>
          <w:iCs w:val="0"/>
          <w:color w:val="000000"/>
          <w:sz w:val="24"/>
          <w:szCs w:val="24"/>
          <w:u w:val="none"/>
          <w:vertAlign w:val="baseline"/>
        </w:rPr>
        <w:t>para atuar como fiscal do contrato e o servidor Daniel Ribeiro de Mendonça</w:t>
      </w:r>
      <w:r>
        <w:rPr>
          <w:rFonts w:hint="default" w:cs="Arial"/>
          <w:i w:val="0"/>
          <w:iCs w:val="0"/>
          <w:color w:val="000000"/>
          <w:sz w:val="24"/>
          <w:szCs w:val="24"/>
          <w:u w:val="none"/>
          <w:vertAlign w:val="baseline"/>
          <w:lang w:val="pt-BR"/>
        </w:rPr>
        <w:t xml:space="preserve"> MASP 6602/8</w:t>
      </w:r>
      <w:r>
        <w:rPr>
          <w:rFonts w:hint="default" w:ascii="Arial" w:hAnsi="Arial" w:cs="Arial"/>
          <w:i w:val="0"/>
          <w:iCs w:val="0"/>
          <w:color w:val="000000"/>
          <w:sz w:val="24"/>
          <w:szCs w:val="24"/>
          <w:u w:val="none"/>
          <w:vertAlign w:val="baseline"/>
        </w:rPr>
        <w:t xml:space="preserve"> para atuar como gestor do contrato</w:t>
      </w:r>
    </w:p>
    <w:p>
      <w:pPr>
        <w:pStyle w:val="56"/>
        <w:spacing w:after="288" w:afterLines="120" w:line="312" w:lineRule="auto"/>
        <w:ind w:firstLine="709"/>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firstLine="709"/>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firstLine="709"/>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56"/>
        <w:spacing w:after="288" w:afterLines="120" w:line="312" w:lineRule="auto"/>
        <w:ind w:firstLine="709"/>
        <w:rPr>
          <w:sz w:val="24"/>
          <w:szCs w:val="24"/>
          <w:lang w:eastAsia="en-US"/>
        </w:rPr>
      </w:pPr>
      <w:r>
        <w:rPr>
          <w:sz w:val="24"/>
          <w:szCs w:val="24"/>
          <w:lang w:eastAsia="en-US"/>
        </w:rPr>
        <w:t xml:space="preserve">Os </w:t>
      </w:r>
      <w:r>
        <w:rPr>
          <w:rFonts w:hint="default"/>
          <w:sz w:val="24"/>
          <w:szCs w:val="24"/>
          <w:lang w:val="pt-BR" w:eastAsia="en-US"/>
        </w:rPr>
        <w:t xml:space="preserve">serviços </w:t>
      </w:r>
      <w:r>
        <w:rPr>
          <w:sz w:val="24"/>
          <w:szCs w:val="24"/>
          <w:lang w:eastAsia="en-US"/>
        </w:rPr>
        <w:t xml:space="preserve">poderão ser rejeitados, no todo ou em parte, quando em desacordo com as especificações constantes no Termo de Referênciae na proposta, devendo ser substituídos no prazo </w:t>
      </w:r>
      <w:r>
        <w:rPr>
          <w:color w:val="auto"/>
          <w:sz w:val="24"/>
          <w:szCs w:val="24"/>
          <w:lang w:eastAsia="en-US"/>
        </w:rPr>
        <w:t>de</w:t>
      </w:r>
      <w:r>
        <w:rPr>
          <w:rFonts w:hint="default"/>
          <w:color w:val="auto"/>
          <w:sz w:val="24"/>
          <w:szCs w:val="24"/>
          <w:lang w:val="pt-BR" w:eastAsia="en-US"/>
        </w:rPr>
        <w:t xml:space="preserve"> 48 HRS</w:t>
      </w:r>
      <w:r>
        <w:rPr>
          <w:sz w:val="24"/>
          <w:szCs w:val="24"/>
          <w:lang w:eastAsia="en-US"/>
        </w:rPr>
        <w:t>, a contar da notificação da contratada, às suas custas, sem prejuízo da aplicação das penalidades.</w:t>
      </w:r>
    </w:p>
    <w:p>
      <w:pPr>
        <w:pStyle w:val="56"/>
        <w:spacing w:after="288"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56"/>
        <w:spacing w:after="288" w:afterLines="120" w:line="312" w:lineRule="auto"/>
        <w:ind w:firstLine="709"/>
        <w:rPr>
          <w:sz w:val="24"/>
          <w:szCs w:val="24"/>
          <w:lang w:eastAsia="en-US"/>
        </w:rPr>
      </w:pPr>
      <w:r>
        <w:rPr>
          <w:sz w:val="24"/>
          <w:szCs w:val="24"/>
          <w:lang w:eastAsia="en-US"/>
        </w:rPr>
        <w:t>O recebimento provisório ou definitivo não excluirá a responsabilidade civil pela solidez e pela segurança do serviço nem a responsabilidade ético-profissional pela perfeita execução do contrato.</w:t>
      </w:r>
    </w:p>
    <w:p>
      <w:pPr>
        <w:pStyle w:val="56"/>
        <w:numPr>
          <w:ilvl w:val="1"/>
          <w:numId w:val="0"/>
        </w:numPr>
        <w:spacing w:after="288" w:afterLines="120" w:line="312" w:lineRule="auto"/>
        <w:rPr>
          <w:rFonts w:hint="default"/>
          <w:b/>
          <w:bCs/>
          <w:sz w:val="24"/>
          <w:szCs w:val="24"/>
          <w:lang w:eastAsia="en-US"/>
        </w:rPr>
      </w:pPr>
      <w:r>
        <w:rPr>
          <w:rFonts w:hint="default"/>
          <w:b/>
          <w:bCs/>
          <w:sz w:val="24"/>
          <w:szCs w:val="24"/>
          <w:lang w:val="pt-BR" w:eastAsia="en-US"/>
        </w:rPr>
        <w:t>A</w:t>
      </w:r>
      <w:r>
        <w:rPr>
          <w:rFonts w:hint="default"/>
          <w:b/>
          <w:bCs/>
          <w:sz w:val="24"/>
          <w:szCs w:val="24"/>
          <w:lang w:eastAsia="en-US"/>
        </w:rPr>
        <w:t>presentação dos critérios de medição</w:t>
      </w:r>
    </w:p>
    <w:p>
      <w:pPr>
        <w:pStyle w:val="56"/>
        <w:spacing w:after="288" w:afterLines="120" w:line="312" w:lineRule="auto"/>
        <w:ind w:firstLine="709"/>
        <w:rPr>
          <w:rFonts w:hint="default"/>
          <w:sz w:val="24"/>
          <w:szCs w:val="24"/>
          <w:lang w:eastAsia="en-US"/>
        </w:rPr>
      </w:pPr>
      <w:r>
        <w:rPr>
          <w:rFonts w:hint="default"/>
          <w:sz w:val="24"/>
          <w:szCs w:val="24"/>
          <w:lang w:eastAsia="en-US"/>
        </w:rPr>
        <w:t>Devem ser apresentados a cada serviço realizado Relatórios, em Formato A4 (1 volume impresso e em meio digital), com desenvolvimentos físicos e financeiros previstos bem como o andamento real da Obra (Físico - Financeiro), entregues na Secretaria Municipal de Obras e Serviços Públicos - Prefeitura Municipal de Arcos/MG.</w:t>
      </w:r>
    </w:p>
    <w:p>
      <w:pPr>
        <w:pStyle w:val="56"/>
        <w:spacing w:after="288" w:afterLines="120" w:line="312" w:lineRule="auto"/>
        <w:ind w:firstLine="709"/>
        <w:rPr>
          <w:rFonts w:hint="default"/>
          <w:sz w:val="24"/>
          <w:szCs w:val="24"/>
          <w:lang w:eastAsia="en-US"/>
        </w:rPr>
      </w:pPr>
      <w:r>
        <w:rPr>
          <w:rFonts w:hint="default"/>
          <w:sz w:val="24"/>
          <w:szCs w:val="24"/>
          <w:lang w:eastAsia="en-US"/>
        </w:rPr>
        <w:t>A FISCALIZAÇÃO será realizada após a apresentação destes relatórios, os quais serão validados em campo e aprovados pelo Secretario Municipal de Obras e Serviços Públicos, sendo então atestada a execução da Obra.</w:t>
      </w:r>
    </w:p>
    <w:p>
      <w:pPr>
        <w:pStyle w:val="56"/>
        <w:spacing w:after="288" w:afterLines="120" w:line="312" w:lineRule="auto"/>
        <w:ind w:firstLine="709"/>
        <w:rPr>
          <w:rFonts w:hint="default"/>
          <w:sz w:val="24"/>
          <w:szCs w:val="24"/>
          <w:lang w:eastAsia="en-US"/>
        </w:rPr>
      </w:pPr>
      <w:r>
        <w:rPr>
          <w:rFonts w:hint="default"/>
          <w:sz w:val="24"/>
          <w:szCs w:val="24"/>
          <w:lang w:eastAsia="en-US"/>
        </w:rPr>
        <w:t>Deverá acompanhar a medição: Planilha de Medições de quantitativos e custos, Memória de Cálculos, Diário de Obras/Serviços (assinado pela empresa e pelo fiscal do contrato), Relatório de Obras  (assinado pela empresa e pelo fiscal do contrato),  Certificado de Regularidade do FGTS, Gfip e Guias de Recolhimento de FGTS, CND Municipal, CND Federal, CND Trabalhista.</w:t>
      </w:r>
    </w:p>
    <w:p>
      <w:pPr>
        <w:pStyle w:val="56"/>
        <w:spacing w:after="288" w:afterLines="120" w:line="312" w:lineRule="auto"/>
        <w:ind w:firstLine="709"/>
        <w:rPr>
          <w:rFonts w:hint="default"/>
          <w:sz w:val="24"/>
          <w:szCs w:val="24"/>
          <w:lang w:eastAsia="en-US"/>
        </w:rPr>
      </w:pPr>
      <w:r>
        <w:rPr>
          <w:rFonts w:hint="default"/>
          <w:sz w:val="24"/>
          <w:szCs w:val="24"/>
          <w:lang w:eastAsia="en-US"/>
        </w:rPr>
        <w:t>No caso da não aceitação da medição realizada, a Secretaria Municipal de Obras e Serviços Urbanos a devolverá à Contratada, para retificação, devendo esta última emitir nova medição, no prazo de 05 (cinco) dias.</w:t>
      </w:r>
    </w:p>
    <w:p>
      <w:pPr>
        <w:pStyle w:val="56"/>
        <w:spacing w:after="288" w:afterLines="120" w:line="312" w:lineRule="auto"/>
        <w:ind w:firstLine="709"/>
        <w:rPr>
          <w:rFonts w:hint="default"/>
          <w:sz w:val="24"/>
          <w:szCs w:val="24"/>
          <w:lang w:eastAsia="en-US"/>
        </w:rPr>
      </w:pPr>
      <w:r>
        <w:rPr>
          <w:rFonts w:hint="default"/>
          <w:sz w:val="24"/>
          <w:szCs w:val="24"/>
          <w:lang w:eastAsia="en-US"/>
        </w:rPr>
        <w:t>Aceita a medição pelo setor técnico, a contratada deve emitir a respectiva Nota Fiscal e, juntado o Termo de Aceite fornecido pela Secretaria Municipal de Obras e Serviços Públicos, encaminhar à Divisão de Compras da Prefeitura Municipal de Arcos / MG, para que se realizem os trâmites de pagamento, que será efetuado em até 30 (trinta) dias após o recebimento da Nota Fiscal.</w:t>
      </w:r>
    </w:p>
    <w:p>
      <w:pPr>
        <w:pStyle w:val="56"/>
        <w:spacing w:after="288" w:afterLines="120" w:line="312" w:lineRule="auto"/>
        <w:ind w:firstLine="709"/>
        <w:rPr>
          <w:sz w:val="24"/>
          <w:szCs w:val="24"/>
          <w:lang w:eastAsia="en-US"/>
        </w:rPr>
      </w:pPr>
      <w:r>
        <w:rPr>
          <w:rFonts w:hint="default"/>
          <w:sz w:val="24"/>
          <w:szCs w:val="24"/>
          <w:lang w:eastAsia="en-US"/>
        </w:rPr>
        <w:t>Em caso de não cumprimento deste item fica suspensa a medição da parcela referente a estes serviços.</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firstLine="709"/>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56"/>
        <w:spacing w:after="288" w:afterLines="120" w:line="312" w:lineRule="auto"/>
        <w:ind w:firstLine="709"/>
        <w:rPr>
          <w:sz w:val="24"/>
          <w:szCs w:val="24"/>
          <w:lang w:eastAsia="en-US"/>
        </w:rPr>
      </w:pPr>
      <w:r>
        <w:rPr>
          <w:sz w:val="24"/>
          <w:szCs w:val="24"/>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firstLine="709"/>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firstLine="709"/>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firstLine="709"/>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firstLine="709"/>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firstLine="709"/>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firstLine="709"/>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firstLine="709"/>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firstLine="709"/>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5"/>
        <w:spacing w:before="120" w:after="288" w:afterLines="120" w:line="312" w:lineRule="auto"/>
        <w:rPr>
          <w:rFonts w:ascii="Arial" w:hAnsi="Arial" w:cs="Arial"/>
          <w:b/>
          <w:color w:val="FF0000"/>
          <w:sz w:val="24"/>
          <w:szCs w:val="24"/>
          <w:shd w:val="clear" w:color="auto" w:fill="FFFFFF"/>
        </w:rPr>
      </w:pP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firstLine="709"/>
        <w:rPr>
          <w:sz w:val="24"/>
          <w:szCs w:val="24"/>
        </w:rPr>
      </w:pPr>
      <w:r>
        <w:rPr>
          <w:rFonts w:eastAsia="Arial"/>
          <w:sz w:val="24"/>
          <w:szCs w:val="24"/>
        </w:rPr>
        <w:t xml:space="preserve">O fornecedor será selecionado por meio da realização de procedimento de LICITAÇÃO, na modalidade </w:t>
      </w:r>
      <w:r>
        <w:rPr>
          <w:rFonts w:hint="default" w:eastAsia="Arial"/>
          <w:sz w:val="24"/>
          <w:szCs w:val="24"/>
          <w:highlight w:val="yellow"/>
          <w:lang w:val="pt-BR"/>
        </w:rPr>
        <w:t>Pregão: Registro de Preços</w:t>
      </w:r>
      <w:r>
        <w:rPr>
          <w:rFonts w:eastAsia="Arial"/>
          <w:sz w:val="24"/>
          <w:szCs w:val="24"/>
        </w:rPr>
        <w:t xml:space="preserve">, sob a forma ELETRÔNICA, com adoção do critério de julgamento pelo </w:t>
      </w:r>
      <w:r>
        <w:rPr>
          <w:rFonts w:hint="default" w:eastAsia="Arial"/>
          <w:color w:val="auto"/>
          <w:sz w:val="24"/>
          <w:szCs w:val="24"/>
          <w:highlight w:val="yellow"/>
          <w:lang w:val="pt-BR"/>
        </w:rPr>
        <w:t>menor preço por item.</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firstLine="709"/>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firstLine="709"/>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firstLine="709"/>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firstLine="709"/>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firstLine="709"/>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56"/>
        <w:spacing w:after="288" w:afterLines="120" w:line="312" w:lineRule="auto"/>
        <w:ind w:firstLine="709"/>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firstLine="709"/>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firstLine="709"/>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firstLine="709"/>
        <w:rPr>
          <w:sz w:val="24"/>
          <w:szCs w:val="24"/>
        </w:rPr>
      </w:pPr>
      <w:r>
        <w:rPr>
          <w:sz w:val="24"/>
          <w:szCs w:val="24"/>
        </w:rPr>
        <w:t>Prova de regularidade com o Fundo de Garantia do Tempo de Serviço (FGTS);</w:t>
      </w:r>
    </w:p>
    <w:p>
      <w:pPr>
        <w:pStyle w:val="56"/>
        <w:spacing w:after="288" w:afterLines="120" w:line="312" w:lineRule="auto"/>
        <w:ind w:firstLine="709"/>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firstLine="709"/>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firstLine="709"/>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firstLine="709"/>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firstLine="709"/>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firstLine="709"/>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firstLine="709"/>
        <w:rPr>
          <w:sz w:val="24"/>
          <w:szCs w:val="24"/>
        </w:rPr>
      </w:pPr>
      <w:r>
        <w:rPr>
          <w:sz w:val="24"/>
          <w:szCs w:val="24"/>
        </w:rPr>
        <w:t>Balanço patrimonial, demonstração de resultado de exercício e demais demonstrações contábeis relativosao último exercício</w:t>
      </w:r>
      <w:r>
        <w:rPr>
          <w:rFonts w:hint="default"/>
          <w:sz w:val="24"/>
          <w:szCs w:val="24"/>
          <w:lang w:val="pt-BR"/>
        </w:rPr>
        <w:t xml:space="preserve"> </w:t>
      </w:r>
      <w:r>
        <w:rPr>
          <w:sz w:val="24"/>
          <w:szCs w:val="24"/>
          <w:highlight w:val="yellow"/>
        </w:rPr>
        <w:t>2022.</w:t>
      </w:r>
      <w:r>
        <w:rPr>
          <w:sz w:val="24"/>
          <w:szCs w:val="24"/>
        </w:rPr>
        <w:t xml:space="preserve"> (Lei nº 14.133, de 2021, art. 69, §6º).</w:t>
      </w:r>
    </w:p>
    <w:p>
      <w:pPr>
        <w:pStyle w:val="56"/>
        <w:spacing w:after="288" w:afterLines="120" w:line="312" w:lineRule="auto"/>
        <w:ind w:firstLine="709"/>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firstLine="709"/>
        <w:rPr>
          <w:i w:val="0"/>
          <w:iCs w:val="0"/>
          <w:color w:val="auto"/>
          <w:sz w:val="24"/>
          <w:szCs w:val="24"/>
        </w:rPr>
      </w:pPr>
      <w:r>
        <w:rPr>
          <w:i w:val="0"/>
          <w:iCs w:val="0"/>
          <w:color w:val="auto"/>
          <w:sz w:val="24"/>
          <w:szCs w:val="24"/>
        </w:rPr>
        <w:t xml:space="preserve">Comprovação de aptidão para o fornecimento de </w:t>
      </w:r>
      <w:r>
        <w:rPr>
          <w:i w:val="0"/>
          <w:iCs w:val="0"/>
          <w:color w:val="auto"/>
          <w:sz w:val="24"/>
          <w:szCs w:val="24"/>
          <w:highlight w:val="yellow"/>
        </w:rPr>
        <w:t>serviços</w:t>
      </w:r>
      <w:r>
        <w:rPr>
          <w:i w:val="0"/>
          <w:iCs w:val="0"/>
          <w:color w:val="auto"/>
          <w:sz w:val="24"/>
          <w:szCs w:val="24"/>
        </w:rPr>
        <w:t xml:space="preserve">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spacing w:after="288" w:afterLines="120" w:line="312" w:lineRule="auto"/>
        <w:ind w:left="170" w:firstLine="709"/>
        <w:rPr>
          <w:i w:val="0"/>
          <w:iCs w:val="0"/>
          <w:color w:val="auto"/>
          <w:sz w:val="24"/>
          <w:szCs w:val="24"/>
        </w:rPr>
      </w:pPr>
      <w:r>
        <w:rPr>
          <w:i w:val="0"/>
          <w:iCs w:val="0"/>
          <w:color w:val="auto"/>
          <w:sz w:val="24"/>
          <w:szCs w:val="24"/>
        </w:rPr>
        <w:t xml:space="preserve">Para fins da comprovação de que trata este subitem, os atestados deverão dizer respeito a contratos executados com as seguintes características mínimas: </w:t>
      </w:r>
    </w:p>
    <w:p>
      <w:pPr>
        <w:pStyle w:val="59"/>
        <w:bidi w:val="0"/>
        <w:ind w:left="590" w:leftChars="0"/>
        <w:rPr>
          <w:rFonts w:hint="default"/>
          <w:sz w:val="24"/>
          <w:szCs w:val="24"/>
        </w:rPr>
      </w:pPr>
      <w:r>
        <w:rPr>
          <w:rFonts w:hint="default"/>
          <w:sz w:val="24"/>
          <w:szCs w:val="24"/>
        </w:rPr>
        <w:t>Nomes empresariais e dados de identificação da instituição emitente (CNPJ, endereço, telefone, e- mail);</w:t>
      </w:r>
    </w:p>
    <w:p>
      <w:pPr>
        <w:pStyle w:val="59"/>
        <w:bidi w:val="0"/>
        <w:ind w:left="590" w:leftChars="0"/>
        <w:rPr>
          <w:rFonts w:hint="default"/>
          <w:sz w:val="24"/>
          <w:szCs w:val="24"/>
        </w:rPr>
      </w:pPr>
      <w:r>
        <w:rPr>
          <w:rFonts w:hint="default"/>
          <w:sz w:val="24"/>
          <w:szCs w:val="24"/>
        </w:rPr>
        <w:t>Local e data de emissão;</w:t>
      </w:r>
    </w:p>
    <w:p>
      <w:pPr>
        <w:pStyle w:val="59"/>
        <w:bidi w:val="0"/>
        <w:ind w:left="590" w:leftChars="0"/>
        <w:rPr>
          <w:rFonts w:hint="default"/>
          <w:sz w:val="24"/>
          <w:szCs w:val="24"/>
        </w:rPr>
      </w:pPr>
      <w:r>
        <w:rPr>
          <w:rFonts w:hint="default"/>
          <w:sz w:val="24"/>
          <w:szCs w:val="24"/>
        </w:rPr>
        <w:t>Nome, cargo, telefone, e- mail e a assinatura do responsável pela veracidade das informações;</w:t>
      </w:r>
    </w:p>
    <w:p>
      <w:pPr>
        <w:pStyle w:val="59"/>
        <w:bidi w:val="0"/>
        <w:ind w:left="590" w:leftChars="0"/>
        <w:rPr>
          <w:sz w:val="24"/>
          <w:szCs w:val="24"/>
        </w:rPr>
      </w:pPr>
      <w:r>
        <w:rPr>
          <w:rFonts w:hint="default"/>
          <w:sz w:val="24"/>
          <w:szCs w:val="24"/>
        </w:rPr>
        <w:t>Período de fornecimento/prestação de serviço</w:t>
      </w:r>
    </w:p>
    <w:p>
      <w:pPr>
        <w:pStyle w:val="59"/>
        <w:bidi w:val="0"/>
        <w:ind w:left="590" w:leftChars="0"/>
      </w:pPr>
      <w:r>
        <w:rPr>
          <w:sz w:val="24"/>
          <w:szCs w:val="24"/>
        </w:rPr>
        <w:t>Será admitida, para fins de comprovação de quantitativo mínimo, a apresentação e o somatório de diferentes atestados executados de forma concomitante.</w:t>
      </w:r>
    </w:p>
    <w:p>
      <w:pPr>
        <w:pStyle w:val="104"/>
        <w:spacing w:after="288" w:afterLines="120" w:line="312" w:lineRule="auto"/>
        <w:ind w:left="170" w:firstLine="709"/>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288" w:afterLines="120" w:line="312" w:lineRule="auto"/>
        <w:ind w:left="170" w:firstLine="709"/>
        <w:rPr>
          <w:i w:val="0"/>
          <w:iCs w:val="0"/>
          <w:color w:val="auto"/>
          <w:sz w:val="24"/>
          <w:szCs w:val="24"/>
        </w:rPr>
      </w:pPr>
      <w:r>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firstLine="709"/>
        <w:rPr>
          <w:b/>
          <w:bCs/>
          <w:i w:val="0"/>
          <w:iCs w:val="0"/>
          <w:color w:val="auto"/>
          <w:sz w:val="24"/>
          <w:szCs w:val="24"/>
          <w:highlight w:val="yellow"/>
        </w:rPr>
      </w:pPr>
      <w:r>
        <w:rPr>
          <w:i w:val="0"/>
          <w:iCs w:val="0"/>
          <w:color w:val="auto"/>
          <w:sz w:val="24"/>
          <w:szCs w:val="24"/>
          <w:highlight w:val="yellow"/>
        </w:rPr>
        <w:t>O custo estimado total da contratação  conforme custos unitários apostos na tabela em anexo.</w:t>
      </w:r>
    </w:p>
    <w:p>
      <w:pPr>
        <w:pStyle w:val="103"/>
        <w:spacing w:after="288" w:afterLines="120" w:line="312" w:lineRule="auto"/>
        <w:ind w:firstLine="709"/>
        <w:rPr>
          <w:i w:val="0"/>
          <w:iCs w:val="0"/>
          <w:color w:val="auto"/>
          <w:sz w:val="24"/>
          <w:szCs w:val="24"/>
        </w:rPr>
      </w:pPr>
      <w:r>
        <w:rPr>
          <w:i w:val="0"/>
          <w:iCs w:val="0"/>
          <w:color w:val="auto"/>
          <w:sz w:val="24"/>
          <w:szCs w:val="24"/>
        </w:rPr>
        <w:t>A estimativa de custo levou em consideração o risco envolvido na contratação e sua alocação entre contratante e contratado, conforme especificado na matriz de risco constante do Contrato.</w:t>
      </w: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firstLine="709"/>
        <w:rPr>
          <w:sz w:val="24"/>
          <w:szCs w:val="24"/>
        </w:rPr>
      </w:pPr>
      <w:r>
        <w:rPr>
          <w:rFonts w:eastAsia="Arial"/>
          <w:sz w:val="24"/>
          <w:szCs w:val="24"/>
        </w:rPr>
        <w:t>As despesas decorrentes da presente contratação correrão à conta de recursos específicos consignados no Orçamento Geral do Município.</w:t>
      </w:r>
    </w:p>
    <w:p>
      <w:pPr>
        <w:pStyle w:val="56"/>
        <w:numPr>
          <w:ilvl w:val="1"/>
          <w:numId w:val="0"/>
        </w:numPr>
        <w:spacing w:after="288" w:afterLines="120" w:line="312" w:lineRule="auto"/>
        <w:ind w:left="709" w:leftChars="0"/>
        <w:rPr>
          <w:sz w:val="24"/>
          <w:szCs w:val="24"/>
        </w:rPr>
      </w:pPr>
    </w:p>
    <w:bookmarkEnd w:id="0"/>
    <w:p>
      <w:pPr>
        <w:pStyle w:val="56"/>
        <w:numPr>
          <w:ilvl w:val="0"/>
          <w:numId w:val="0"/>
        </w:numPr>
        <w:spacing w:after="288" w:afterLines="120" w:line="312" w:lineRule="auto"/>
        <w:rPr>
          <w:color w:val="auto"/>
          <w:sz w:val="24"/>
          <w:szCs w:val="24"/>
        </w:rPr>
      </w:pPr>
      <w:r>
        <w:rPr>
          <w:rFonts w:hint="default"/>
          <w:color w:val="auto"/>
          <w:sz w:val="24"/>
          <w:szCs w:val="24"/>
          <w:highlight w:val="yellow"/>
          <w:lang w:val="pt-BR"/>
        </w:rPr>
        <w:t>Arcos</w:t>
      </w:r>
      <w:r>
        <w:rPr>
          <w:color w:val="auto"/>
          <w:sz w:val="24"/>
          <w:szCs w:val="24"/>
          <w:highlight w:val="yellow"/>
        </w:rPr>
        <w:t>,  de</w:t>
      </w:r>
      <w:r>
        <w:rPr>
          <w:rFonts w:hint="default"/>
          <w:color w:val="auto"/>
          <w:sz w:val="24"/>
          <w:szCs w:val="24"/>
          <w:highlight w:val="yellow"/>
          <w:lang w:val="pt-BR"/>
        </w:rPr>
        <w:t xml:space="preserve"> 07 </w:t>
      </w:r>
      <w:r>
        <w:rPr>
          <w:color w:val="auto"/>
          <w:sz w:val="24"/>
          <w:szCs w:val="24"/>
          <w:highlight w:val="yellow"/>
        </w:rPr>
        <w:t xml:space="preserve"> </w:t>
      </w:r>
      <w:r>
        <w:rPr>
          <w:rFonts w:hint="default"/>
          <w:color w:val="auto"/>
          <w:sz w:val="24"/>
          <w:szCs w:val="24"/>
          <w:highlight w:val="yellow"/>
          <w:lang w:val="pt-BR"/>
        </w:rPr>
        <w:t>março</w:t>
      </w:r>
      <w:r>
        <w:rPr>
          <w:color w:val="auto"/>
          <w:sz w:val="24"/>
          <w:szCs w:val="24"/>
          <w:highlight w:val="yellow"/>
        </w:rPr>
        <w:t xml:space="preserve"> de </w:t>
      </w:r>
      <w:r>
        <w:rPr>
          <w:rFonts w:hint="default"/>
          <w:color w:val="auto"/>
          <w:sz w:val="24"/>
          <w:szCs w:val="24"/>
          <w:highlight w:val="yellow"/>
          <w:lang w:val="pt-BR"/>
        </w:rPr>
        <w:t>2024</w:t>
      </w:r>
      <w:r>
        <w:rPr>
          <w:color w:val="auto"/>
          <w:sz w:val="24"/>
          <w:szCs w:val="24"/>
          <w:highlight w:val="yellow"/>
        </w:rPr>
        <w:t>.</w:t>
      </w:r>
    </w:p>
    <w:p>
      <w:pPr>
        <w:pStyle w:val="56"/>
        <w:numPr>
          <w:ilvl w:val="0"/>
          <w:numId w:val="0"/>
        </w:numPr>
        <w:spacing w:after="288" w:afterLines="120" w:line="312" w:lineRule="auto"/>
        <w:rPr>
          <w:i/>
          <w:iCs/>
          <w:color w:val="auto"/>
          <w:sz w:val="24"/>
          <w:szCs w:val="24"/>
        </w:rPr>
      </w:pPr>
    </w:p>
    <w:p>
      <w:pPr>
        <w:spacing w:before="120" w:after="288" w:afterLines="120" w:line="312" w:lineRule="auto"/>
        <w:ind w:left="357"/>
        <w:jc w:val="center"/>
        <w:rPr>
          <w:rFonts w:ascii="Arial" w:hAnsi="Arial" w:eastAsia="Arial" w:cs="Arial"/>
        </w:rPr>
      </w:pPr>
      <w:r>
        <w:rPr>
          <w:rFonts w:ascii="Arial" w:hAnsi="Arial" w:eastAsia="Arial" w:cs="Arial"/>
        </w:rPr>
        <w:t>__________________________________</w:t>
      </w:r>
    </w:p>
    <w:p>
      <w:pPr>
        <w:spacing w:before="120" w:after="288" w:afterLines="120" w:line="312" w:lineRule="auto"/>
        <w:ind w:left="360"/>
        <w:jc w:val="center"/>
        <w:rPr>
          <w:rFonts w:hint="default" w:ascii="Arial" w:hAnsi="Arial" w:cs="Arial"/>
        </w:rPr>
      </w:pPr>
      <w:r>
        <w:rPr>
          <w:rFonts w:hint="default" w:ascii="Arial" w:hAnsi="Arial" w:cs="Arial"/>
        </w:rPr>
        <w:t>Secretaria Municipal de Obras e Serviços Públicos</w:t>
      </w:r>
    </w:p>
    <w:sectPr>
      <w:headerReference r:id="rId3" w:type="default"/>
      <w:pgSz w:w="11906" w:h="16838"/>
      <w:pgMar w:top="1418" w:right="1134" w:bottom="1020"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Open Sans">
    <w:altName w:val="Times New Roman"/>
    <w:panose1 w:val="00000000000000000000"/>
    <w:charset w:val="00"/>
    <w:family w:val="roman"/>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1025" o:spid="_x0000_s1025" o:spt="75" type="#_x0000_t75" style="position:absolute;left:0pt;margin-left:106.45pt;margin-top:-15.15pt;height:50.7pt;width:293.85pt;mso-wrap-distance-bottom:0pt;mso-wrap-distance-top:0pt;z-index:251659264;mso-width-relative:page;mso-height-relative:page;" filled="f" o:preferrelative="t" stroked="f" coordsize="21600,21600">
          <v:path/>
          <v:fill on="f" focussize="0,0"/>
          <v:stroke on="f" joinstyle="miter"/>
          <v:imagedata r:id="rId1" o:title=""/>
          <o:lock v:ext="edit" aspectratio="t"/>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2"/>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3A765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1C17C7"/>
    <w:rsid w:val="15FB6522"/>
    <w:rsid w:val="165C66F7"/>
    <w:rsid w:val="16649FEF"/>
    <w:rsid w:val="187314D3"/>
    <w:rsid w:val="193305E4"/>
    <w:rsid w:val="1A0CC7BE"/>
    <w:rsid w:val="1AB5ADE8"/>
    <w:rsid w:val="1AECDB15"/>
    <w:rsid w:val="1C3EC466"/>
    <w:rsid w:val="1C8CA1DF"/>
    <w:rsid w:val="1D38DAFD"/>
    <w:rsid w:val="208E5FA0"/>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E8E660C"/>
    <w:rsid w:val="2F33A853"/>
    <w:rsid w:val="3003D639"/>
    <w:rsid w:val="3022A7F5"/>
    <w:rsid w:val="30CF78B4"/>
    <w:rsid w:val="34A1E81C"/>
    <w:rsid w:val="36EC78EE"/>
    <w:rsid w:val="36EF174D"/>
    <w:rsid w:val="36F4710C"/>
    <w:rsid w:val="38DC57C7"/>
    <w:rsid w:val="390C2635"/>
    <w:rsid w:val="3920A23A"/>
    <w:rsid w:val="3AE9E302"/>
    <w:rsid w:val="3B9683F7"/>
    <w:rsid w:val="3BCB3C2E"/>
    <w:rsid w:val="3CAB666A"/>
    <w:rsid w:val="40993BDC"/>
    <w:rsid w:val="411272C2"/>
    <w:rsid w:val="41A722F3"/>
    <w:rsid w:val="4284D176"/>
    <w:rsid w:val="42E0FEE6"/>
    <w:rsid w:val="446868FA"/>
    <w:rsid w:val="449EE389"/>
    <w:rsid w:val="44A8FB23"/>
    <w:rsid w:val="4571532B"/>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62449D6"/>
    <w:rsid w:val="77392A14"/>
    <w:rsid w:val="77467F07"/>
    <w:rsid w:val="7779378F"/>
    <w:rsid w:val="77E0AB9D"/>
    <w:rsid w:val="788D7F63"/>
    <w:rsid w:val="78F9E42E"/>
    <w:rsid w:val="79546C12"/>
    <w:rsid w:val="7A70CAD6"/>
    <w:rsid w:val="7B63C47B"/>
    <w:rsid w:val="7C19F02A"/>
    <w:rsid w:val="7D0285A2"/>
    <w:rsid w:val="7D377ED9"/>
    <w:rsid w:val="7E96548A"/>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43F61" w:themeColor="accent1" w:themeShade="7F"/>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66091"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43F61" w:themeColor="accent1" w:themeShade="7F"/>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66091"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rPr>
  </w:style>
  <w:style w:type="character" w:customStyle="1" w:styleId="41">
    <w:name w:val="Título Char"/>
    <w:basedOn w:val="7"/>
    <w:link w:val="16"/>
    <w:qFormat/>
    <w:uiPriority w:val="0"/>
    <w:rPr>
      <w:rFonts w:asciiTheme="majorHAnsi" w:hAnsiTheme="majorHAnsi" w:eastAsiaTheme="majorEastAsia" w:cstheme="majorBidi"/>
      <w:color w:val="17365D"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65D"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66091"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43F61" w:themeColor="accent1" w:themeShade="7F"/>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43F61" w:themeColor="accent1" w:themeShade="7F"/>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D3A4D-46FC-4C9D-A646-0B0B22B0418A}">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A1465CDB-1419-435A-AC24-1D47985E0D45}">
  <ds:schemaRefs/>
</ds:datastoreItem>
</file>

<file path=customXml/itemProps5.xml><?xml version="1.0" encoding="utf-8"?>
<ds:datastoreItem xmlns:ds="http://schemas.openxmlformats.org/officeDocument/2006/customXml" ds:itemID="{2B11408A-6D5C-4CA6-95AE-BDB1C00B1E4C}">
  <ds:schemaRefs/>
</ds:datastoreItem>
</file>

<file path=customXml/itemProps6.xml><?xml version="1.0" encoding="utf-8"?>
<ds:datastoreItem xmlns:ds="http://schemas.openxmlformats.org/officeDocument/2006/customXml" ds:itemID="{7C541C99-BA1C-408F-8BE9-FD886FF1D685}">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0</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2024-04-08T21:06:01Z</cp:lastPrinted>
  <dcterms:modified xsi:type="dcterms:W3CDTF">2024-04-08T21:06:03Z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2AF9E71D8B6E49D7ACF57C3025EBC80C</vt:lpwstr>
  </property>
</Properties>
</file>