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highlight w:val="none"/>
        </w:rPr>
      </w:pPr>
      <w:bookmarkStart w:id="0" w:name="_Hlk82471863"/>
      <w:r>
        <w:rPr>
          <w:rFonts w:ascii="Arial" w:hAnsi="Arial" w:eastAsia="Times New Roman" w:cs="Arial"/>
          <w:b/>
          <w:iCs/>
        </w:rPr>
        <w:t>TER</w:t>
      </w:r>
      <w:r>
        <w:rPr>
          <w:rFonts w:ascii="Arial" w:hAnsi="Arial" w:eastAsia="Times New Roman" w:cs="Arial"/>
          <w:b/>
          <w:iCs/>
          <w:highlight w:val="none"/>
        </w:rPr>
        <w:t>MO DE REFERÊNCIA</w:t>
      </w:r>
    </w:p>
    <w:p>
      <w:pPr>
        <w:jc w:val="center"/>
        <w:rPr>
          <w:rFonts w:hint="default" w:ascii="Arial" w:hAnsi="Arial" w:eastAsia="Times New Roman" w:cs="Arial"/>
          <w:b/>
          <w:iCs/>
          <w:highlight w:val="none"/>
          <w:lang w:val="pt-BR"/>
        </w:rPr>
      </w:pPr>
      <w:r>
        <w:rPr>
          <w:rFonts w:hint="default" w:ascii="Arial" w:hAnsi="Arial" w:eastAsia="Times New Roman" w:cs="Arial"/>
          <w:b/>
          <w:iCs/>
          <w:highlight w:val="none"/>
          <w:lang w:val="pt-BR"/>
        </w:rPr>
        <w:t>N° 230/2024</w:t>
      </w:r>
    </w:p>
    <w:p>
      <w:pPr>
        <w:jc w:val="center"/>
        <w:rPr>
          <w:rFonts w:ascii="Arial" w:hAnsi="Arial" w:eastAsia="Times New Roman" w:cs="Arial"/>
          <w:b/>
          <w:iCs/>
          <w:highlight w:val="none"/>
        </w:rPr>
      </w:pPr>
      <w:r>
        <w:rPr>
          <w:rFonts w:ascii="Arial" w:hAnsi="Arial" w:eastAsia="Times New Roman" w:cs="Arial"/>
          <w:b/>
          <w:iCs/>
          <w:highlight w:val="none"/>
        </w:rPr>
        <w:t>MUNICÍPIO DE ARCOS/MG</w:t>
      </w:r>
    </w:p>
    <w:p>
      <w:pPr>
        <w:jc w:val="center"/>
        <w:rPr>
          <w:rFonts w:ascii="Arial" w:hAnsi="Arial" w:eastAsia="Times New Roman" w:cs="Arial"/>
          <w:b/>
          <w:iCs/>
          <w:highlight w:val="none"/>
        </w:rPr>
      </w:pPr>
    </w:p>
    <w:p>
      <w:pPr>
        <w:pStyle w:val="40"/>
        <w:numPr>
          <w:ilvl w:val="0"/>
          <w:numId w:val="3"/>
        </w:numPr>
        <w:spacing w:before="120" w:after="288" w:afterLines="120" w:line="312" w:lineRule="auto"/>
        <w:ind w:left="0" w:firstLine="0"/>
        <w:rPr>
          <w:rFonts w:eastAsia="Arial"/>
          <w:sz w:val="24"/>
          <w:szCs w:val="24"/>
          <w:highlight w:val="none"/>
        </w:rPr>
      </w:pPr>
      <w:r>
        <w:rPr>
          <w:sz w:val="24"/>
          <w:szCs w:val="24"/>
          <w:highlight w:val="none"/>
        </w:rPr>
        <w:t>CONDIÇÕES GERAIS DA CONTRATAÇÃO</w:t>
      </w:r>
    </w:p>
    <w:p>
      <w:pPr>
        <w:pStyle w:val="57"/>
        <w:spacing w:after="288" w:afterLines="120" w:line="312" w:lineRule="auto"/>
        <w:ind w:firstLine="709"/>
        <w:rPr>
          <w:b/>
          <w:bCs/>
          <w:sz w:val="24"/>
          <w:szCs w:val="24"/>
        </w:rPr>
      </w:pPr>
      <w:r>
        <w:rPr>
          <w:rFonts w:hint="default"/>
          <w:sz w:val="24"/>
          <w:szCs w:val="24"/>
          <w:highlight w:val="none"/>
          <w:lang w:val="pt-BR"/>
        </w:rPr>
        <w:t>Aquisição de caçambas estacionárias para entulhos, capacidade 5 m³, para uso das Secretaria Municipal de Obras e Serviços Públicos e Secretaria Municipal de Meio Ambiente e Agricultura, c</w:t>
      </w:r>
      <w:r>
        <w:rPr>
          <w:sz w:val="24"/>
          <w:szCs w:val="24"/>
        </w:rPr>
        <w:t>onforme condições e exigências estabelecidas neste instrumento.</w:t>
      </w:r>
    </w:p>
    <w:tbl>
      <w:tblPr>
        <w:tblStyle w:val="10"/>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0"/>
        <w:gridCol w:w="4427"/>
        <w:gridCol w:w="1355"/>
        <w:gridCol w:w="945"/>
        <w:gridCol w:w="1310"/>
        <w:gridCol w:w="1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9"/>
                <w:szCs w:val="19"/>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19"/>
                <w:szCs w:val="19"/>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sz w:val="19"/>
                <w:szCs w:val="19"/>
              </w:rPr>
            </w:pPr>
            <w:r>
              <w:rPr>
                <w:rFonts w:hint="default" w:ascii="Arial" w:hAnsi="Arial" w:eastAsia="Arial" w:cs="Arial"/>
                <w:b/>
                <w:bCs/>
                <w:color w:val="000000" w:themeColor="text1"/>
                <w:sz w:val="19"/>
                <w:szCs w:val="19"/>
                <w14:textFill>
                  <w14:solidFill>
                    <w14:schemeClr w14:val="tx1"/>
                  </w14:solidFill>
                </w14:textFill>
              </w:rPr>
              <w:t>ITEM</w:t>
            </w:r>
          </w:p>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default" w:ascii="Arial" w:hAnsi="Arial" w:eastAsia="Arial" w:cs="Arial"/>
                <w:b/>
                <w:bCs/>
                <w:color w:val="000000"/>
                <w:sz w:val="19"/>
                <w:szCs w:val="19"/>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sz w:val="19"/>
                <w:szCs w:val="19"/>
                <w:lang w:val="pt-BR"/>
              </w:rPr>
            </w:pPr>
            <w:r>
              <w:rPr>
                <w:rFonts w:hint="default" w:ascii="Arial" w:hAnsi="Arial" w:eastAsia="Arial" w:cs="Arial"/>
                <w:b/>
                <w:bCs/>
                <w:color w:val="000000" w:themeColor="text1"/>
                <w:sz w:val="19"/>
                <w:szCs w:val="19"/>
                <w:lang w:val="pt-BR"/>
                <w14:textFill>
                  <w14:solidFill>
                    <w14:schemeClr w14:val="tx1"/>
                  </w14:solidFill>
                </w14:textFill>
              </w:rPr>
              <w:t>DESCRI</w:t>
            </w:r>
            <w:r>
              <w:rPr>
                <w:rFonts w:hint="default" w:ascii="Arial" w:hAnsi="Arial" w:eastAsia="Arial" w:cs="Arial"/>
                <w:b/>
                <w:bCs/>
                <w:color w:val="000000" w:themeColor="text1"/>
                <w:sz w:val="19"/>
                <w:szCs w:val="19"/>
                <w14:textFill>
                  <w14:solidFill>
                    <w14:schemeClr w14:val="tx1"/>
                  </w14:solidFill>
                </w14:textFill>
              </w:rPr>
              <w:t>ÇÃO</w:t>
            </w:r>
            <w:r>
              <w:rPr>
                <w:rFonts w:hint="default" w:ascii="Arial" w:hAnsi="Arial" w:eastAsia="Arial" w:cs="Arial"/>
                <w:b/>
                <w:bCs/>
                <w:color w:val="000000" w:themeColor="text1"/>
                <w:sz w:val="19"/>
                <w:szCs w:val="19"/>
                <w:lang w:val="pt-BR"/>
                <w14:textFill>
                  <w14:solidFill>
                    <w14:schemeClr w14:val="tx1"/>
                  </w14:solidFill>
                </w14:textFill>
              </w:rPr>
              <w:t xml:space="preserve"> DO PRODUTO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sz w:val="19"/>
                <w:szCs w:val="19"/>
              </w:rPr>
            </w:pPr>
            <w:r>
              <w:rPr>
                <w:rFonts w:hint="default" w:ascii="Arial" w:hAnsi="Arial" w:eastAsia="Arial" w:cs="Arial"/>
                <w:b/>
                <w:bCs/>
                <w:color w:val="000000" w:themeColor="text1"/>
                <w:sz w:val="19"/>
                <w:szCs w:val="19"/>
                <w14:textFill>
                  <w14:solidFill>
                    <w14:schemeClr w14:val="tx1"/>
                  </w14:solidFill>
                </w14:textFill>
              </w:rPr>
              <w:t>UNIDADE DE MEDIDA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sz w:val="19"/>
                <w:szCs w:val="19"/>
              </w:rPr>
            </w:pPr>
          </w:p>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sz w:val="19"/>
                <w:szCs w:val="19"/>
                <w:lang w:val="pt-BR"/>
              </w:rPr>
            </w:pPr>
            <w:r>
              <w:rPr>
                <w:rFonts w:hint="default" w:ascii="Arial" w:hAnsi="Arial" w:eastAsia="Arial" w:cs="Arial"/>
                <w:b/>
                <w:bCs/>
                <w:sz w:val="19"/>
                <w:szCs w:val="19"/>
              </w:rPr>
              <w:t>QUANT</w:t>
            </w:r>
            <w:r>
              <w:rPr>
                <w:rFonts w:hint="default" w:ascii="Arial" w:hAnsi="Arial" w:eastAsia="Arial" w:cs="Arial"/>
                <w:b/>
                <w:bCs/>
                <w:sz w:val="19"/>
                <w:szCs w:val="19"/>
                <w:lang w:val="pt-BR"/>
              </w:rPr>
              <w:t>.</w:t>
            </w:r>
          </w:p>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sz w:val="19"/>
                <w:szCs w:val="19"/>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sz w:val="19"/>
                <w:szCs w:val="19"/>
              </w:rPr>
            </w:pPr>
            <w:r>
              <w:rPr>
                <w:rFonts w:hint="default" w:ascii="Arial" w:hAnsi="Arial" w:eastAsia="Arial" w:cs="Arial"/>
                <w:b/>
                <w:bCs/>
                <w:sz w:val="19"/>
                <w:szCs w:val="19"/>
              </w:rPr>
              <w:t>VALOR UNITÁRIO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sz w:val="19"/>
                <w:szCs w:val="19"/>
              </w:rPr>
            </w:pPr>
            <w:r>
              <w:rPr>
                <w:rFonts w:hint="default" w:ascii="Arial" w:hAnsi="Arial" w:eastAsia="Arial" w:cs="Arial"/>
                <w:b/>
                <w:bCs/>
                <w:sz w:val="19"/>
                <w:szCs w:val="19"/>
              </w:rPr>
              <w:t>VALOR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Arial" w:hAnsi="Arial" w:cs="Arial"/>
                <w:color w:val="auto"/>
                <w:sz w:val="20"/>
                <w:szCs w:val="20"/>
                <w:lang w:val="pt-BR" w:eastAsia="en-US"/>
              </w:rPr>
            </w:pPr>
            <w:r>
              <w:rPr>
                <w:rFonts w:hint="default" w:ascii="Arial" w:hAnsi="Arial" w:cs="Arial"/>
                <w:color w:val="auto"/>
                <w:sz w:val="20"/>
                <w:szCs w:val="20"/>
                <w:lang w:val="pt-BR" w:eastAsia="en-US"/>
              </w:rPr>
              <w:t>Caçamba Estacionária de 5m³, na cor branca: fabricada conforme dispõe a ABNT NBR 14.728/2005  de acordo com o modelo exemplificado em anexo.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Theme="minorHAnsi" w:cstheme="minorBidi"/>
                <w:b w:val="0"/>
                <w:bCs w:val="0"/>
                <w:color w:val="auto"/>
                <w:sz w:val="20"/>
                <w:szCs w:val="20"/>
                <w:lang w:val="pt-BR" w:eastAsia="en-US" w:bidi="ar-SA"/>
              </w:rPr>
            </w:pPr>
            <w:r>
              <w:rPr>
                <w:rFonts w:hint="default" w:ascii="Arial" w:hAnsi="Arial" w:cstheme="minorBidi"/>
                <w:b w:val="0"/>
                <w:bCs w:val="0"/>
                <w:color w:val="auto"/>
                <w:sz w:val="20"/>
                <w:szCs w:val="20"/>
                <w:lang w:val="pt-BR" w:eastAsia="en-US" w:bidi="ar-SA"/>
              </w:rPr>
              <w:t>Unidade</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Theme="minorHAnsi" w:cstheme="minorBidi"/>
                <w:b w:val="0"/>
                <w:bCs w:val="0"/>
                <w:color w:val="auto"/>
                <w:sz w:val="20"/>
                <w:szCs w:val="20"/>
                <w:lang w:val="en-US" w:eastAsia="pt-BR" w:bidi="ar-SA"/>
              </w:rPr>
            </w:pPr>
            <w:r>
              <w:rPr>
                <w:rFonts w:hint="default" w:ascii="Arial" w:hAnsi="Arial" w:cstheme="minorBidi"/>
                <w:b w:val="0"/>
                <w:bCs w:val="0"/>
                <w:color w:val="auto"/>
                <w:sz w:val="20"/>
                <w:szCs w:val="20"/>
                <w:lang w:val="en-US" w:eastAsia="pt-BR" w:bidi="ar-SA"/>
              </w:rPr>
              <w:t>20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en-US" w:eastAsia="pt-BR" w:bidi="ar-SA"/>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pt-BR"/>
              </w:rPr>
            </w:pPr>
          </w:p>
        </w:tc>
      </w:tr>
    </w:tbl>
    <w:p>
      <w:pPr>
        <w:pStyle w:val="57"/>
        <w:numPr>
          <w:numId w:val="0"/>
        </w:numPr>
        <w:spacing w:after="288" w:afterLines="120" w:line="312" w:lineRule="auto"/>
        <w:ind w:left="709" w:leftChars="0"/>
        <w:rPr>
          <w:b/>
          <w:bCs/>
          <w:sz w:val="24"/>
          <w:szCs w:val="24"/>
        </w:rPr>
      </w:pPr>
    </w:p>
    <w:p>
      <w:pPr>
        <w:pStyle w:val="57"/>
        <w:spacing w:after="288" w:afterLines="120" w:line="312" w:lineRule="auto"/>
        <w:ind w:firstLine="709"/>
        <w:rPr>
          <w:sz w:val="24"/>
          <w:szCs w:val="24"/>
          <w:highlight w:val="none"/>
        </w:rPr>
      </w:pPr>
      <w:r>
        <w:rPr>
          <w:sz w:val="24"/>
          <w:szCs w:val="24"/>
          <w:highlight w:val="none"/>
        </w:rPr>
        <w:t xml:space="preserve">O objeto desta contratação não se enquadra como sendo de bem de luxo, conforme Decreto Municipal nº </w:t>
      </w:r>
      <w:r>
        <w:rPr>
          <w:rFonts w:hint="default"/>
          <w:sz w:val="24"/>
          <w:szCs w:val="24"/>
          <w:highlight w:val="none"/>
          <w:lang w:val="pt-BR"/>
        </w:rPr>
        <w:t>6535</w:t>
      </w:r>
      <w:r>
        <w:rPr>
          <w:sz w:val="24"/>
          <w:szCs w:val="24"/>
          <w:highlight w:val="none"/>
        </w:rPr>
        <w:t>/2023.</w:t>
      </w:r>
    </w:p>
    <w:p>
      <w:pPr>
        <w:pStyle w:val="57"/>
        <w:spacing w:after="288" w:afterLines="120" w:line="312" w:lineRule="auto"/>
        <w:ind w:firstLine="709"/>
        <w:rPr>
          <w:sz w:val="24"/>
          <w:szCs w:val="24"/>
          <w:highlight w:val="none"/>
        </w:rPr>
      </w:pPr>
      <w:r>
        <w:rPr>
          <w:sz w:val="24"/>
          <w:szCs w:val="24"/>
          <w:highlight w:val="none"/>
        </w:rPr>
        <w:t>O</w:t>
      </w:r>
      <w:r>
        <w:rPr>
          <w:rFonts w:hint="default"/>
          <w:sz w:val="24"/>
          <w:szCs w:val="24"/>
          <w:highlight w:val="none"/>
          <w:lang w:val="pt-BR"/>
        </w:rPr>
        <w:t xml:space="preserve"> </w:t>
      </w:r>
      <w:r>
        <w:rPr>
          <w:sz w:val="24"/>
          <w:szCs w:val="24"/>
          <w:highlight w:val="none"/>
        </w:rPr>
        <w:t>objeto desta contratação são caracterizados como comuns, conforme justificativa constante do Estudo Técnico Preliminar.</w:t>
      </w:r>
    </w:p>
    <w:p>
      <w:pPr>
        <w:pStyle w:val="104"/>
        <w:spacing w:after="288" w:afterLines="120" w:line="312" w:lineRule="auto"/>
        <w:ind w:firstLine="709"/>
        <w:rPr>
          <w:i w:val="0"/>
          <w:iCs w:val="0"/>
          <w:color w:val="auto"/>
          <w:sz w:val="24"/>
          <w:szCs w:val="24"/>
          <w:highlight w:val="none"/>
        </w:rPr>
      </w:pPr>
      <w:r>
        <w:rPr>
          <w:i w:val="0"/>
          <w:iCs w:val="0"/>
          <w:color w:val="auto"/>
          <w:sz w:val="24"/>
          <w:szCs w:val="24"/>
          <w:highlight w:val="none"/>
        </w:rPr>
        <w:t>O prazo de vigência da contratação é de</w:t>
      </w:r>
      <w:r>
        <w:rPr>
          <w:rFonts w:hint="default"/>
          <w:i w:val="0"/>
          <w:iCs w:val="0"/>
          <w:color w:val="auto"/>
          <w:sz w:val="24"/>
          <w:szCs w:val="24"/>
          <w:highlight w:val="none"/>
          <w:lang w:val="pt-BR"/>
        </w:rPr>
        <w:t xml:space="preserve"> 12 (doze) meses </w:t>
      </w:r>
      <w:r>
        <w:rPr>
          <w:i w:val="0"/>
          <w:iCs w:val="0"/>
          <w:color w:val="auto"/>
          <w:sz w:val="24"/>
          <w:szCs w:val="24"/>
          <w:highlight w:val="none"/>
        </w:rPr>
        <w:t>contados do(a)</w:t>
      </w:r>
      <w:r>
        <w:rPr>
          <w:rFonts w:hint="default"/>
          <w:i w:val="0"/>
          <w:iCs w:val="0"/>
          <w:color w:val="auto"/>
          <w:sz w:val="24"/>
          <w:szCs w:val="24"/>
          <w:highlight w:val="none"/>
          <w:lang w:val="pt-BR"/>
        </w:rPr>
        <w:t xml:space="preserve"> assinatura do contrato</w:t>
      </w:r>
      <w:r>
        <w:rPr>
          <w:i w:val="0"/>
          <w:iCs w:val="0"/>
          <w:color w:val="auto"/>
          <w:sz w:val="24"/>
          <w:szCs w:val="24"/>
          <w:highlight w:val="none"/>
        </w:rPr>
        <w:t>, na forma do artigo 105 da Lei n° 14.133, de 2021.</w:t>
      </w:r>
    </w:p>
    <w:p>
      <w:pPr>
        <w:pStyle w:val="57"/>
        <w:spacing w:after="288" w:afterLines="120" w:line="312" w:lineRule="auto"/>
        <w:ind w:firstLine="709"/>
        <w:rPr>
          <w:sz w:val="24"/>
          <w:szCs w:val="24"/>
        </w:rPr>
      </w:pPr>
      <w:r>
        <w:rPr>
          <w:sz w:val="24"/>
          <w:szCs w:val="24"/>
        </w:rPr>
        <w:t>O contrato oferece maior detalhamento das regras que serão aplicadas em relação à vigência da contratação.</w:t>
      </w:r>
    </w:p>
    <w:p>
      <w:pPr>
        <w:pStyle w:val="40"/>
        <w:spacing w:before="120" w:after="288" w:afterLines="120" w:line="312" w:lineRule="auto"/>
        <w:ind w:left="0" w:firstLine="0"/>
        <w:rPr>
          <w:sz w:val="24"/>
          <w:szCs w:val="24"/>
        </w:rPr>
      </w:pPr>
      <w:r>
        <w:rPr>
          <w:sz w:val="24"/>
          <w:szCs w:val="24"/>
        </w:rPr>
        <w:t>FUNDAMENTAÇÃO E DESCRIÇÃO DA NECESSIDADE DA CONTRATAÇÃO</w:t>
      </w:r>
    </w:p>
    <w:p>
      <w:pPr>
        <w:pStyle w:val="57"/>
        <w:spacing w:after="288" w:afterLines="120" w:line="312" w:lineRule="auto"/>
        <w:ind w:firstLine="709"/>
        <w:rPr>
          <w:sz w:val="24"/>
          <w:szCs w:val="24"/>
          <w:highlight w:val="none"/>
        </w:rPr>
      </w:pPr>
      <w:r>
        <w:rPr>
          <w:sz w:val="24"/>
          <w:szCs w:val="24"/>
        </w:rPr>
        <w:t>A Fundamentação da Contratação e de seus quantitativos encontra-se pormenorizada em Tópico específico dos Estudos Técnicos Preliminares, apêndice deste T</w:t>
      </w:r>
      <w:r>
        <w:rPr>
          <w:sz w:val="24"/>
          <w:szCs w:val="24"/>
          <w:highlight w:val="none"/>
        </w:rPr>
        <w:t>ermo de Referência.</w:t>
      </w:r>
    </w:p>
    <w:p>
      <w:pPr>
        <w:pStyle w:val="57"/>
        <w:spacing w:after="288" w:afterLines="120" w:line="312" w:lineRule="auto"/>
        <w:ind w:firstLine="709"/>
        <w:rPr>
          <w:sz w:val="24"/>
          <w:szCs w:val="24"/>
          <w:highlight w:val="none"/>
        </w:rPr>
      </w:pPr>
      <w:r>
        <w:rPr>
          <w:sz w:val="24"/>
          <w:szCs w:val="24"/>
          <w:highlight w:val="none"/>
        </w:rPr>
        <w:t xml:space="preserve">O objeto da contratação está previsto no Plano de Contratações Anual  de </w:t>
      </w:r>
      <w:r>
        <w:rPr>
          <w:rFonts w:hint="default"/>
          <w:sz w:val="24"/>
          <w:szCs w:val="24"/>
          <w:highlight w:val="none"/>
          <w:lang w:val="pt-BR"/>
        </w:rPr>
        <w:t>2024</w:t>
      </w:r>
      <w:r>
        <w:rPr>
          <w:color w:val="auto"/>
          <w:sz w:val="24"/>
          <w:szCs w:val="24"/>
          <w:highlight w:val="none"/>
        </w:rPr>
        <w:t>.</w:t>
      </w:r>
      <w:r>
        <w:rPr>
          <w:rFonts w:hint="default"/>
          <w:color w:val="auto"/>
          <w:sz w:val="24"/>
          <w:szCs w:val="24"/>
          <w:highlight w:val="none"/>
          <w:lang w:val="pt-BR"/>
        </w:rPr>
        <w:t xml:space="preserve"> </w:t>
      </w:r>
    </w:p>
    <w:p>
      <w:pPr>
        <w:pStyle w:val="40"/>
        <w:spacing w:before="120" w:after="288" w:afterLines="120" w:line="312" w:lineRule="auto"/>
        <w:ind w:left="0" w:firstLine="0"/>
        <w:rPr>
          <w:sz w:val="24"/>
          <w:szCs w:val="24"/>
        </w:rPr>
      </w:pPr>
      <w:r>
        <w:rPr>
          <w:sz w:val="24"/>
          <w:szCs w:val="24"/>
        </w:rPr>
        <w:t>DESCRIÇÃO DA SOLUÇÃO COMO UM TODO CONSIDERADO O CICLO DE VIDA DO OBJETO E ESPECIFICAÇÃO DO PRODUTO</w:t>
      </w:r>
    </w:p>
    <w:p>
      <w:pPr>
        <w:pStyle w:val="104"/>
        <w:spacing w:after="288" w:afterLines="120" w:line="312" w:lineRule="auto"/>
        <w:ind w:firstLine="709"/>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40"/>
        <w:spacing w:before="120" w:after="288" w:afterLines="120" w:line="312" w:lineRule="auto"/>
        <w:rPr>
          <w:sz w:val="24"/>
          <w:szCs w:val="24"/>
        </w:rPr>
      </w:pPr>
      <w:r>
        <w:rPr>
          <w:sz w:val="24"/>
          <w:szCs w:val="24"/>
        </w:rPr>
        <w:t>REQUISITOS DA CONTRATAÇÃO</w:t>
      </w:r>
    </w:p>
    <w:p>
      <w:pPr>
        <w:pStyle w:val="110"/>
        <w:spacing w:before="120" w:after="288" w:afterLines="120" w:line="312" w:lineRule="auto"/>
        <w:ind w:left="0"/>
        <w:rPr>
          <w:color w:val="auto"/>
          <w:sz w:val="24"/>
          <w:szCs w:val="24"/>
          <w:highlight w:val="none"/>
        </w:rPr>
      </w:pPr>
      <w:r>
        <w:rPr>
          <w:color w:val="auto"/>
          <w:sz w:val="24"/>
          <w:szCs w:val="24"/>
          <w:highlight w:val="none"/>
        </w:rPr>
        <w:t>Subcontratação</w:t>
      </w:r>
    </w:p>
    <w:p>
      <w:pPr>
        <w:pStyle w:val="57"/>
        <w:spacing w:after="288" w:afterLines="120" w:line="312" w:lineRule="auto"/>
        <w:ind w:firstLine="709"/>
        <w:rPr>
          <w:color w:val="auto"/>
          <w:sz w:val="24"/>
          <w:szCs w:val="24"/>
          <w:highlight w:val="none"/>
        </w:rPr>
      </w:pPr>
      <w:r>
        <w:rPr>
          <w:color w:val="auto"/>
          <w:sz w:val="24"/>
          <w:szCs w:val="24"/>
          <w:highlight w:val="none"/>
        </w:rPr>
        <w:t>Não é admitida a subcontratação do objeto contratual.</w:t>
      </w:r>
    </w:p>
    <w:p>
      <w:pPr>
        <w:pStyle w:val="110"/>
        <w:spacing w:before="120" w:after="288" w:afterLines="120" w:line="312" w:lineRule="auto"/>
        <w:rPr>
          <w:color w:val="auto"/>
          <w:sz w:val="24"/>
          <w:szCs w:val="24"/>
          <w:highlight w:val="none"/>
        </w:rPr>
      </w:pPr>
      <w:r>
        <w:rPr>
          <w:color w:val="auto"/>
          <w:sz w:val="24"/>
          <w:szCs w:val="24"/>
          <w:highlight w:val="none"/>
        </w:rPr>
        <w:t>Garantia da contratação</w:t>
      </w:r>
    </w:p>
    <w:p>
      <w:pPr>
        <w:pStyle w:val="104"/>
        <w:spacing w:after="288" w:afterLines="120" w:line="312" w:lineRule="auto"/>
        <w:ind w:firstLine="709"/>
        <w:rPr>
          <w:i w:val="0"/>
          <w:iCs w:val="0"/>
          <w:color w:val="auto"/>
          <w:sz w:val="24"/>
          <w:szCs w:val="24"/>
          <w:highlight w:val="none"/>
        </w:rPr>
      </w:pPr>
      <w:r>
        <w:rPr>
          <w:rFonts w:hint="default"/>
          <w:i w:val="0"/>
          <w:iCs w:val="0"/>
          <w:color w:val="auto"/>
          <w:sz w:val="24"/>
          <w:szCs w:val="24"/>
          <w:highlight w:val="none"/>
          <w:lang w:val="pt-BR"/>
        </w:rPr>
        <w:t xml:space="preserve">Os bens deverão possuir garantia de 12 (doze) meses por parte do fabricante. </w:t>
      </w:r>
    </w:p>
    <w:p>
      <w:pPr>
        <w:pStyle w:val="40"/>
        <w:spacing w:before="120" w:after="288" w:afterLines="120" w:line="312" w:lineRule="auto"/>
        <w:rPr>
          <w:rFonts w:hint="default"/>
          <w:i w:val="0"/>
          <w:iCs w:val="0"/>
          <w:color w:val="auto"/>
          <w:sz w:val="24"/>
          <w:szCs w:val="24"/>
          <w:highlight w:val="none"/>
          <w:lang w:val="pt-BR"/>
        </w:rPr>
      </w:pPr>
      <w:r>
        <w:rPr>
          <w:sz w:val="24"/>
          <w:szCs w:val="24"/>
        </w:rPr>
        <w:t>MODELO DE EXECUÇÃO DO OBJETO</w:t>
      </w:r>
    </w:p>
    <w:p>
      <w:pPr>
        <w:pStyle w:val="110"/>
        <w:spacing w:before="120" w:after="288" w:afterLines="120" w:line="312"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Condições de Entrega</w:t>
      </w:r>
    </w:p>
    <w:p>
      <w:pPr>
        <w:pStyle w:val="104"/>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 xml:space="preserve">O prazo de entrega dos bens </w:t>
      </w:r>
      <w:r>
        <w:rPr>
          <w:rFonts w:hint="default"/>
          <w:i w:val="0"/>
          <w:iCs w:val="0"/>
          <w:color w:val="auto"/>
          <w:sz w:val="24"/>
          <w:szCs w:val="24"/>
          <w:highlight w:val="none"/>
          <w:lang w:val="pt-BR"/>
        </w:rPr>
        <w:t>será</w:t>
      </w:r>
      <w:r>
        <w:rPr>
          <w:rFonts w:hint="default"/>
          <w:i w:val="0"/>
          <w:iCs w:val="0"/>
          <w:color w:val="auto"/>
          <w:sz w:val="24"/>
          <w:szCs w:val="24"/>
          <w:highlight w:val="none"/>
        </w:rPr>
        <w:t xml:space="preserve"> de </w:t>
      </w:r>
      <w:r>
        <w:rPr>
          <w:rFonts w:hint="default"/>
          <w:i w:val="0"/>
          <w:iCs w:val="0"/>
          <w:color w:val="auto"/>
          <w:sz w:val="24"/>
          <w:szCs w:val="24"/>
          <w:highlight w:val="none"/>
          <w:lang w:val="pt-BR"/>
        </w:rPr>
        <w:t xml:space="preserve">30 </w:t>
      </w:r>
      <w:r>
        <w:rPr>
          <w:rFonts w:hint="default"/>
          <w:i w:val="0"/>
          <w:iCs w:val="0"/>
          <w:color w:val="auto"/>
          <w:sz w:val="24"/>
          <w:szCs w:val="24"/>
          <w:highlight w:val="none"/>
        </w:rPr>
        <w:t>(</w:t>
      </w:r>
      <w:r>
        <w:rPr>
          <w:rFonts w:hint="default"/>
          <w:i w:val="0"/>
          <w:iCs w:val="0"/>
          <w:color w:val="auto"/>
          <w:sz w:val="24"/>
          <w:szCs w:val="24"/>
          <w:highlight w:val="none"/>
          <w:lang w:val="pt-BR"/>
        </w:rPr>
        <w:t>trinta</w:t>
      </w:r>
      <w:r>
        <w:rPr>
          <w:rFonts w:hint="default"/>
          <w:i w:val="0"/>
          <w:iCs w:val="0"/>
          <w:color w:val="auto"/>
          <w:sz w:val="24"/>
          <w:szCs w:val="24"/>
          <w:highlight w:val="none"/>
        </w:rPr>
        <w:t>)</w:t>
      </w:r>
      <w:r>
        <w:rPr>
          <w:rFonts w:hint="default"/>
          <w:i w:val="0"/>
          <w:iCs w:val="0"/>
          <w:color w:val="auto"/>
          <w:sz w:val="24"/>
          <w:szCs w:val="24"/>
          <w:highlight w:val="none"/>
          <w:lang w:val="pt-BR"/>
        </w:rPr>
        <w:t xml:space="preserve"> </w:t>
      </w:r>
      <w:r>
        <w:rPr>
          <w:rFonts w:hint="default"/>
          <w:i w:val="0"/>
          <w:iCs w:val="0"/>
          <w:color w:val="auto"/>
          <w:sz w:val="24"/>
          <w:szCs w:val="24"/>
          <w:highlight w:val="none"/>
        </w:rPr>
        <w:t>dias</w:t>
      </w:r>
      <w:r>
        <w:rPr>
          <w:rFonts w:hint="default"/>
          <w:i w:val="0"/>
          <w:iCs w:val="0"/>
          <w:color w:val="auto"/>
          <w:sz w:val="24"/>
          <w:szCs w:val="24"/>
          <w:highlight w:val="none"/>
          <w:lang w:val="pt-BR"/>
        </w:rPr>
        <w:t xml:space="preserve"> corridos</w:t>
      </w:r>
      <w:r>
        <w:rPr>
          <w:rFonts w:hint="default"/>
          <w:i w:val="0"/>
          <w:iCs w:val="0"/>
          <w:color w:val="auto"/>
          <w:sz w:val="24"/>
          <w:szCs w:val="24"/>
          <w:highlight w:val="none"/>
        </w:rPr>
        <w:t>, contados do(a) a partir do recebimento da ordem de compra, de forma parcelada.</w:t>
      </w:r>
    </w:p>
    <w:p>
      <w:pPr>
        <w:pStyle w:val="104"/>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 xml:space="preserve">O prazo do contrato poderá ser prorrogado por igual período, desde que haja uma apresentação justificada e superveniente. No entanto, é necessário obter autorização da Administração para a prorrogação do prazo. A decisão de conceder ou não a prorrogação dependerá da análise e avaliação do motivo apresentado para a extensão do prazo. </w:t>
      </w:r>
    </w:p>
    <w:p>
      <w:pPr>
        <w:pStyle w:val="104"/>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As parcelas serão entregues conforme necessidade de cada secretaria e de acordo com as quantidades  informadas na ordem de serviço.</w:t>
      </w:r>
    </w:p>
    <w:p>
      <w:pPr>
        <w:pStyle w:val="104"/>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rPr>
        <w:t>Os bens deverão ser entregues no Almoxarifado Central da Prefeitura</w:t>
      </w:r>
      <w:r>
        <w:rPr>
          <w:rFonts w:hint="default"/>
          <w:i w:val="0"/>
          <w:iCs w:val="0"/>
          <w:color w:val="auto"/>
          <w:sz w:val="24"/>
          <w:szCs w:val="24"/>
          <w:highlight w:val="none"/>
          <w:lang w:val="pt-BR"/>
        </w:rPr>
        <w:t xml:space="preserve"> </w:t>
      </w:r>
      <w:r>
        <w:rPr>
          <w:rFonts w:hint="default"/>
          <w:i w:val="0"/>
          <w:iCs w:val="0"/>
          <w:color w:val="auto"/>
          <w:sz w:val="24"/>
          <w:szCs w:val="24"/>
          <w:highlight w:val="none"/>
        </w:rPr>
        <w:t>no endereço: Rua Capitão José Apolinário nº: 1.345, Bairro: Brasília - Arcos/M.G., ou em outro endereço informado na Ordem de Compra ou estabelecido pelo Setor Requisitante, podendo ser no perímetro urbano e zona rural do Município.</w:t>
      </w:r>
    </w:p>
    <w:p>
      <w:pPr>
        <w:pStyle w:val="104"/>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pPr>
        <w:pStyle w:val="104"/>
        <w:spacing w:after="288" w:afterLines="120" w:line="312" w:lineRule="auto"/>
        <w:ind w:firstLine="709"/>
        <w:rPr>
          <w:rFonts w:hint="default" w:ascii="Arial" w:hAnsi="Arial" w:cs="Arial"/>
          <w:i w:val="0"/>
          <w:iCs w:val="0"/>
          <w:color w:val="000000"/>
          <w:sz w:val="24"/>
          <w:szCs w:val="24"/>
          <w:u w:val="none"/>
          <w:vertAlign w:val="baseline"/>
          <w:lang w:val="pt-BR"/>
        </w:rPr>
      </w:pPr>
      <w:r>
        <w:rPr>
          <w:rFonts w:hint="default" w:ascii="Arial" w:hAnsi="Arial" w:cs="Arial"/>
          <w:i w:val="0"/>
          <w:iCs w:val="0"/>
          <w:color w:val="000000"/>
          <w:sz w:val="24"/>
          <w:szCs w:val="24"/>
          <w:u w:val="none"/>
          <w:vertAlign w:val="baseline"/>
        </w:rPr>
        <w:t>Os</w:t>
      </w:r>
      <w:r>
        <w:rPr>
          <w:rFonts w:hint="default" w:ascii="Arial" w:hAnsi="Arial" w:cs="Arial"/>
          <w:i w:val="0"/>
          <w:iCs w:val="0"/>
          <w:color w:val="000000"/>
          <w:sz w:val="24"/>
          <w:szCs w:val="24"/>
          <w:u w:val="none"/>
          <w:vertAlign w:val="baseline"/>
          <w:lang w:val="pt-BR"/>
        </w:rPr>
        <w:t xml:space="preserve"> bens</w:t>
      </w:r>
      <w:r>
        <w:rPr>
          <w:rFonts w:hint="default" w:ascii="Arial" w:hAnsi="Arial" w:cs="Arial"/>
          <w:i w:val="0"/>
          <w:iCs w:val="0"/>
          <w:color w:val="000000"/>
          <w:sz w:val="24"/>
          <w:szCs w:val="24"/>
          <w:u w:val="none"/>
          <w:vertAlign w:val="baseline"/>
        </w:rPr>
        <w:t xml:space="preserve"> não devem apresentar </w:t>
      </w:r>
      <w:r>
        <w:rPr>
          <w:rFonts w:hint="default" w:ascii="Arial" w:hAnsi="Arial" w:cs="Arial"/>
          <w:i w:val="0"/>
          <w:iCs w:val="0"/>
          <w:color w:val="000000"/>
          <w:sz w:val="24"/>
          <w:szCs w:val="24"/>
          <w:u w:val="none"/>
          <w:vertAlign w:val="baseline"/>
          <w:lang w:val="pt-BR"/>
        </w:rPr>
        <w:t>avarias.</w:t>
      </w:r>
    </w:p>
    <w:p>
      <w:pPr>
        <w:pStyle w:val="104"/>
        <w:spacing w:after="288" w:afterLines="120" w:line="312" w:lineRule="auto"/>
        <w:ind w:firstLine="709"/>
        <w:rPr>
          <w:rFonts w:hint="default"/>
          <w:i w:val="0"/>
          <w:iCs w:val="0"/>
          <w:color w:val="auto"/>
          <w:sz w:val="24"/>
          <w:szCs w:val="24"/>
          <w:highlight w:val="none"/>
          <w:lang w:val="pt-BR"/>
        </w:rPr>
      </w:pPr>
      <w:r>
        <w:rPr>
          <w:rFonts w:hint="default" w:ascii="Arial" w:hAnsi="Arial" w:cs="Arial"/>
          <w:i w:val="0"/>
          <w:iCs w:val="0"/>
          <w:color w:val="000000"/>
          <w:sz w:val="24"/>
          <w:szCs w:val="24"/>
          <w:u w:val="none"/>
          <w:vertAlign w:val="baseline"/>
        </w:rPr>
        <w:t xml:space="preserve">Uma vez notificado, o Contratado realizará a substituição dos materiais que apresentarem vício ou defeito no prazo de até </w:t>
      </w:r>
      <w:r>
        <w:rPr>
          <w:rFonts w:hint="default" w:cs="Arial"/>
          <w:i w:val="0"/>
          <w:iCs w:val="0"/>
          <w:color w:val="000000"/>
          <w:sz w:val="24"/>
          <w:szCs w:val="24"/>
          <w:u w:val="none"/>
          <w:vertAlign w:val="baseline"/>
          <w:lang w:val="pt-BR"/>
        </w:rPr>
        <w:t xml:space="preserve">05 </w:t>
      </w:r>
      <w:r>
        <w:rPr>
          <w:rFonts w:hint="default" w:ascii="Arial" w:hAnsi="Arial" w:cs="Arial"/>
          <w:i w:val="0"/>
          <w:iCs w:val="0"/>
          <w:color w:val="000000"/>
          <w:sz w:val="24"/>
          <w:szCs w:val="24"/>
          <w:u w:val="none"/>
          <w:vertAlign w:val="baseline"/>
        </w:rPr>
        <w:t>(</w:t>
      </w:r>
      <w:r>
        <w:rPr>
          <w:rFonts w:hint="default" w:cs="Arial"/>
          <w:i w:val="0"/>
          <w:iCs w:val="0"/>
          <w:color w:val="000000"/>
          <w:sz w:val="24"/>
          <w:szCs w:val="24"/>
          <w:u w:val="none"/>
          <w:vertAlign w:val="baseline"/>
          <w:lang w:val="pt-BR"/>
        </w:rPr>
        <w:t>cinco</w:t>
      </w:r>
      <w:r>
        <w:rPr>
          <w:rFonts w:hint="default" w:ascii="Arial" w:hAnsi="Arial" w:cs="Arial"/>
          <w:i w:val="0"/>
          <w:iCs w:val="0"/>
          <w:color w:val="000000"/>
          <w:sz w:val="24"/>
          <w:szCs w:val="24"/>
          <w:u w:val="none"/>
          <w:vertAlign w:val="baseline"/>
        </w:rPr>
        <w:t>) dias úteis, contados a partir da data de retirada do material das dependências da Administração pelo Contratado.</w:t>
      </w:r>
    </w:p>
    <w:p>
      <w:pPr>
        <w:pStyle w:val="104"/>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O prazo indicado no subitem anterior, durante seu transcurso, poderá ser prorrogado uma única vez, por igual período, mediante solicitação escrita e justificada do Contratado, aceita pelo Contratante.</w:t>
      </w:r>
    </w:p>
    <w:p>
      <w:pPr>
        <w:pStyle w:val="104"/>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O custo referente ao transporte dos materiais será de responsabilidade do Contratado.</w:t>
      </w:r>
    </w:p>
    <w:p>
      <w:pPr>
        <w:pStyle w:val="104"/>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É obrigatório entregar a Nota Fiscal junto com a entrega do produto. Não serão aceitas notas fiscais enviadas por email para fim de recebimento.</w:t>
      </w:r>
    </w:p>
    <w:p>
      <w:pPr>
        <w:pStyle w:val="104"/>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A empresa Contratada ficará responsável pela entrega dos materiais, mesmo em locais que contenham mais de 1 (um) piso.</w:t>
      </w:r>
    </w:p>
    <w:p>
      <w:pPr>
        <w:pStyle w:val="104"/>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O custo referente ao transporte será de responsabilidade da Contratada.</w:t>
      </w:r>
    </w:p>
    <w:p>
      <w:pPr>
        <w:pStyle w:val="104"/>
        <w:spacing w:after="288" w:afterLines="120" w:line="312" w:lineRule="auto"/>
        <w:ind w:firstLine="709"/>
        <w:rPr>
          <w:rFonts w:hint="default"/>
          <w:i w:val="0"/>
          <w:iCs w:val="0"/>
          <w:color w:val="auto"/>
          <w:sz w:val="24"/>
          <w:szCs w:val="24"/>
          <w:highlight w:val="none"/>
          <w:lang w:val="pt-BR"/>
        </w:rPr>
      </w:pPr>
      <w:r>
        <w:rPr>
          <w:rFonts w:hint="default"/>
          <w:i w:val="0"/>
          <w:iCs w:val="0"/>
          <w:color w:val="auto"/>
          <w:sz w:val="24"/>
          <w:szCs w:val="24"/>
          <w:highlight w:val="none"/>
          <w:lang w:val="pt-BR"/>
        </w:rPr>
        <w:t>Os bens a serem adquiridos enquadram-se na classificação de bens comuns, nos termos da Lei n° 10.520, de 2002, do Decreto n° 3.555, de 2000.</w:t>
      </w:r>
    </w:p>
    <w:p>
      <w:pPr>
        <w:pStyle w:val="40"/>
        <w:spacing w:before="120" w:after="288" w:afterLines="120" w:line="312" w:lineRule="auto"/>
        <w:rPr>
          <w:sz w:val="24"/>
          <w:szCs w:val="24"/>
        </w:rPr>
      </w:pPr>
      <w:r>
        <w:rPr>
          <w:sz w:val="24"/>
          <w:szCs w:val="24"/>
        </w:rPr>
        <w:t>GESTÃO DO CONTRATO</w:t>
      </w:r>
      <w:r>
        <w:rPr>
          <w:rFonts w:hint="default"/>
          <w:sz w:val="24"/>
          <w:szCs w:val="24"/>
          <w:lang w:val="pt-BR"/>
        </w:rPr>
        <w:t>/EMPENHO</w:t>
      </w:r>
    </w:p>
    <w:p>
      <w:pPr>
        <w:pStyle w:val="57"/>
        <w:spacing w:after="288" w:afterLines="120" w:line="312" w:lineRule="auto"/>
        <w:ind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7"/>
        <w:spacing w:after="288" w:afterLines="120" w:line="312" w:lineRule="auto"/>
        <w:ind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7"/>
        <w:spacing w:after="288" w:afterLines="120" w:line="312" w:lineRule="auto"/>
        <w:ind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7"/>
        <w:spacing w:after="288" w:afterLines="120" w:line="312" w:lineRule="auto"/>
        <w:ind w:firstLine="709"/>
        <w:rPr>
          <w:sz w:val="24"/>
          <w:szCs w:val="24"/>
        </w:rPr>
      </w:pPr>
      <w:r>
        <w:rPr>
          <w:sz w:val="24"/>
          <w:szCs w:val="24"/>
        </w:rPr>
        <w:t>O Município poderá convocar representante da empresa para adoção de providências que devam ser cumpridas de imediato.</w:t>
      </w:r>
    </w:p>
    <w:p>
      <w:pPr>
        <w:pStyle w:val="104"/>
        <w:spacing w:after="288" w:afterLines="120" w:line="312" w:lineRule="auto"/>
        <w:ind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104"/>
        <w:spacing w:after="288" w:afterLines="120" w:line="312" w:lineRule="auto"/>
        <w:ind w:firstLine="709"/>
        <w:rPr>
          <w:rFonts w:hint="default" w:ascii="Arial" w:hAnsi="Arial" w:cs="Arial"/>
          <w:i w:val="0"/>
          <w:iCs w:val="0"/>
          <w:color w:val="auto"/>
          <w:sz w:val="24"/>
          <w:szCs w:val="24"/>
          <w:lang w:val="pt-BR"/>
        </w:rPr>
      </w:pPr>
      <w:r>
        <w:rPr>
          <w:rFonts w:hint="default"/>
          <w:i w:val="0"/>
          <w:iCs w:val="0"/>
          <w:color w:val="auto"/>
          <w:sz w:val="24"/>
          <w:szCs w:val="24"/>
        </w:rPr>
        <w:t>A execução do contrato deverá ser acompanhada e fiscalizada pelo(s) fiscal(is) do contrato, ou pelos respectivos substitutos (Lei nº 14.133, de 2021, art. 117, caput), sendo indicado para a presente contratação o servidor Gustavo Henrique Cardoso MASP: 9109/0 para atuar como fiscal do contrato e os servidores Daniel Ribeiro de Mendonça MASP: 6602/8 e Elson Ribeiro da Silva MASP: 9175/8 para atuarem como gestores do contrato.</w:t>
      </w:r>
      <w:r>
        <w:rPr>
          <w:rFonts w:hint="default" w:ascii="Arial" w:hAnsi="Arial" w:cs="Arial"/>
          <w:i w:val="0"/>
          <w:iCs w:val="0"/>
          <w:color w:val="auto"/>
          <w:sz w:val="24"/>
          <w:szCs w:val="24"/>
          <w:u w:val="none"/>
          <w:vertAlign w:val="baseline"/>
          <w:lang w:val="pt-BR"/>
        </w:rPr>
        <w:t xml:space="preserve"> </w:t>
      </w:r>
    </w:p>
    <w:p>
      <w:pPr>
        <w:pStyle w:val="57"/>
        <w:spacing w:after="288" w:afterLines="120" w:line="312" w:lineRule="auto"/>
        <w:ind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9"/>
        <w:spacing w:after="288"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5"/>
          <w:sz w:val="24"/>
          <w:szCs w:val="24"/>
        </w:rPr>
        <w:t>Lei nº 14.133, de 2021, art. 117, §1º</w:t>
      </w:r>
      <w:r>
        <w:rPr>
          <w:rStyle w:val="15"/>
          <w:sz w:val="24"/>
          <w:szCs w:val="24"/>
        </w:rPr>
        <w:fldChar w:fldCharType="end"/>
      </w:r>
      <w:r>
        <w:rPr>
          <w:sz w:val="24"/>
          <w:szCs w:val="24"/>
        </w:rPr>
        <w:t>.</w:t>
      </w:r>
    </w:p>
    <w:p>
      <w:pPr>
        <w:pStyle w:val="59"/>
        <w:spacing w:after="288"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9"/>
        <w:spacing w:after="288"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9"/>
        <w:spacing w:after="288"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9"/>
        <w:spacing w:after="288"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7"/>
        <w:spacing w:after="288" w:afterLines="120" w:line="312" w:lineRule="auto"/>
        <w:ind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9"/>
        <w:spacing w:after="288"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7"/>
        <w:spacing w:after="288" w:afterLines="120" w:line="312" w:lineRule="auto"/>
        <w:ind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9"/>
        <w:spacing w:after="288"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9"/>
        <w:spacing w:after="288"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9"/>
        <w:spacing w:after="288"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40"/>
        <w:spacing w:before="120" w:after="288" w:afterLines="120" w:line="312" w:lineRule="auto"/>
        <w:rPr>
          <w:sz w:val="24"/>
          <w:szCs w:val="24"/>
        </w:rPr>
      </w:pPr>
      <w:r>
        <w:rPr>
          <w:sz w:val="24"/>
          <w:szCs w:val="24"/>
        </w:rPr>
        <w:t>CRITÉRIOS DE MEDIÇÃO E DE PAGAMENTO</w:t>
      </w:r>
    </w:p>
    <w:p>
      <w:pPr>
        <w:pStyle w:val="110"/>
        <w:spacing w:before="120" w:after="288" w:afterLines="120" w:line="312" w:lineRule="auto"/>
        <w:rPr>
          <w:color w:val="auto"/>
          <w:sz w:val="24"/>
          <w:szCs w:val="24"/>
          <w:lang w:eastAsia="en-US"/>
        </w:rPr>
      </w:pPr>
      <w:r>
        <w:rPr>
          <w:color w:val="auto"/>
          <w:sz w:val="24"/>
          <w:szCs w:val="24"/>
          <w:lang w:eastAsia="en-US"/>
        </w:rPr>
        <w:t>Recebimento do Objeto</w:t>
      </w:r>
    </w:p>
    <w:p>
      <w:pPr>
        <w:pStyle w:val="57"/>
        <w:spacing w:after="288" w:afterLines="120" w:line="312" w:lineRule="auto"/>
        <w:ind w:firstLine="709"/>
        <w:rPr>
          <w:sz w:val="24"/>
          <w:szCs w:val="24"/>
          <w:lang w:eastAsia="en-US"/>
        </w:rPr>
      </w:pPr>
      <w:r>
        <w:rPr>
          <w:sz w:val="24"/>
          <w:szCs w:val="24"/>
          <w:lang w:eastAsia="en-US"/>
        </w:rPr>
        <w:t xml:space="preserve">Os bens serão recebidos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rFonts w:hint="default"/>
          <w:sz w:val="24"/>
          <w:szCs w:val="24"/>
          <w:lang w:val="pt-BR" w:eastAsia="en-US"/>
        </w:rPr>
        <w:t xml:space="preserve"> </w:t>
      </w:r>
      <w:r>
        <w:rPr>
          <w:sz w:val="24"/>
          <w:szCs w:val="24"/>
          <w:lang w:eastAsia="en-US"/>
        </w:rPr>
        <w:t>e na proposta.</w:t>
      </w:r>
    </w:p>
    <w:p>
      <w:pPr>
        <w:pStyle w:val="57"/>
        <w:spacing w:after="288" w:afterLines="120" w:line="312" w:lineRule="auto"/>
        <w:ind w:firstLine="709"/>
        <w:rPr>
          <w:sz w:val="24"/>
          <w:szCs w:val="24"/>
          <w:lang w:eastAsia="en-US"/>
        </w:rPr>
      </w:pPr>
      <w:r>
        <w:rPr>
          <w:sz w:val="24"/>
          <w:szCs w:val="24"/>
          <w:lang w:eastAsia="en-US"/>
        </w:rPr>
        <w:t>Os itens poderão ser rejeitados, no todo ou em parte, quando em desacordo com as especificações constantes no Termo de Referência</w:t>
      </w:r>
      <w:r>
        <w:rPr>
          <w:rFonts w:hint="default"/>
          <w:sz w:val="24"/>
          <w:szCs w:val="24"/>
          <w:lang w:val="pt-BR" w:eastAsia="en-US"/>
        </w:rPr>
        <w:t xml:space="preserve"> </w:t>
      </w:r>
      <w:r>
        <w:rPr>
          <w:sz w:val="24"/>
          <w:szCs w:val="24"/>
          <w:lang w:eastAsia="en-US"/>
        </w:rPr>
        <w:t xml:space="preserve">e na proposta, devendo ser substituídos no prazo </w:t>
      </w:r>
      <w:r>
        <w:rPr>
          <w:color w:val="auto"/>
          <w:sz w:val="24"/>
          <w:szCs w:val="24"/>
          <w:lang w:eastAsia="en-US"/>
        </w:rPr>
        <w:t>de</w:t>
      </w:r>
      <w:r>
        <w:rPr>
          <w:rFonts w:hint="default"/>
          <w:color w:val="auto"/>
          <w:sz w:val="24"/>
          <w:szCs w:val="24"/>
          <w:lang w:val="pt-BR" w:eastAsia="en-US"/>
        </w:rPr>
        <w:t xml:space="preserve"> 05 (cinco)</w:t>
      </w:r>
      <w:r>
        <w:rPr>
          <w:color w:val="auto"/>
          <w:sz w:val="24"/>
          <w:szCs w:val="24"/>
          <w:lang w:eastAsia="en-US"/>
        </w:rPr>
        <w:t xml:space="preserve"> dias</w:t>
      </w:r>
      <w:r>
        <w:rPr>
          <w:sz w:val="24"/>
          <w:szCs w:val="24"/>
          <w:lang w:eastAsia="en-US"/>
        </w:rPr>
        <w:t>, a contar da notificação da contratada, às suas custas, sem prejuízo da aplicação das penalidades.</w:t>
      </w:r>
    </w:p>
    <w:p>
      <w:pPr>
        <w:pStyle w:val="57"/>
        <w:spacing w:after="288" w:afterLines="120" w:line="312" w:lineRule="auto"/>
        <w:ind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7"/>
        <w:spacing w:after="288" w:afterLines="120" w:line="312" w:lineRule="auto"/>
        <w:ind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5"/>
          <w:bCs/>
          <w:sz w:val="24"/>
          <w:szCs w:val="24"/>
          <w:lang w:eastAsia="en-US"/>
        </w:rPr>
        <w:t>art. 143 da Lei nº 14.133, de 2021</w:t>
      </w:r>
      <w:r>
        <w:rPr>
          <w:rStyle w:val="15"/>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7"/>
        <w:spacing w:after="288" w:afterLines="120" w:line="312" w:lineRule="auto"/>
        <w:ind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7"/>
        <w:spacing w:after="288" w:afterLines="120" w:line="312" w:lineRule="auto"/>
        <w:ind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10"/>
        <w:spacing w:before="120" w:after="288" w:afterLines="120" w:line="312" w:lineRule="auto"/>
        <w:rPr>
          <w:color w:val="auto"/>
          <w:sz w:val="24"/>
          <w:szCs w:val="24"/>
          <w:lang w:eastAsia="en-US"/>
        </w:rPr>
      </w:pPr>
      <w:r>
        <w:rPr>
          <w:color w:val="auto"/>
          <w:sz w:val="24"/>
          <w:szCs w:val="24"/>
          <w:lang w:eastAsia="en-US"/>
        </w:rPr>
        <w:t>Liquidação</w:t>
      </w:r>
    </w:p>
    <w:p>
      <w:pPr>
        <w:pStyle w:val="57"/>
        <w:spacing w:after="288" w:afterLines="120" w:line="312" w:lineRule="auto"/>
        <w:ind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5"/>
          <w:sz w:val="24"/>
          <w:szCs w:val="24"/>
          <w:lang w:eastAsia="en-US"/>
        </w:rPr>
        <w:t xml:space="preserve">art. 68 da Lei nº 14.133, de 2021.  </w:t>
      </w:r>
      <w:r>
        <w:rPr>
          <w:rStyle w:val="15"/>
          <w:sz w:val="24"/>
          <w:szCs w:val="24"/>
          <w:lang w:eastAsia="en-US"/>
        </w:rPr>
        <w:fldChar w:fldCharType="end"/>
      </w:r>
    </w:p>
    <w:p>
      <w:pPr>
        <w:pStyle w:val="104"/>
        <w:spacing w:after="288" w:afterLines="120" w:line="312" w:lineRule="auto"/>
        <w:ind w:firstLine="709"/>
        <w:rPr>
          <w:i w:val="0"/>
          <w:iCs w:val="0"/>
          <w:color w:val="auto"/>
          <w:sz w:val="24"/>
          <w:szCs w:val="24"/>
          <w:highlight w:val="none"/>
        </w:rPr>
      </w:pPr>
      <w:r>
        <w:rPr>
          <w:i w:val="0"/>
          <w:iCs w:val="0"/>
          <w:color w:val="auto"/>
          <w:sz w:val="24"/>
          <w:szCs w:val="24"/>
          <w:highlight w:val="none"/>
        </w:rPr>
        <w:t>A nota fiscal deverá conter lote e prazo de validade dos produtos, ou outras informações que a legislação assim dispuser.</w:t>
      </w:r>
    </w:p>
    <w:p>
      <w:pPr>
        <w:pStyle w:val="57"/>
        <w:spacing w:after="288" w:afterLines="120" w:line="312" w:lineRule="auto"/>
        <w:ind w:firstLine="709"/>
        <w:rPr>
          <w:sz w:val="24"/>
          <w:szCs w:val="24"/>
          <w:lang w:eastAsia="en-US"/>
        </w:rPr>
      </w:pPr>
      <w:r>
        <w:rPr>
          <w:sz w:val="24"/>
          <w:szCs w:val="24"/>
          <w:lang w:eastAsia="en-US"/>
        </w:rPr>
        <w:t>Constatando-se</w:t>
      </w:r>
      <w:r>
        <w:rPr>
          <w:rFonts w:hint="default"/>
          <w:sz w:val="24"/>
          <w:szCs w:val="24"/>
          <w:lang w:val="pt-BR" w:eastAsia="en-US"/>
        </w:rPr>
        <w:t xml:space="preserve"> </w:t>
      </w:r>
      <w:r>
        <w:rPr>
          <w:sz w:val="24"/>
          <w:szCs w:val="24"/>
          <w:lang w:eastAsia="en-US"/>
        </w:rPr>
        <w:t>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7"/>
        <w:spacing w:after="288" w:afterLines="120" w:line="312" w:lineRule="auto"/>
        <w:ind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7"/>
        <w:spacing w:after="288" w:afterLines="120" w:line="312" w:lineRule="auto"/>
        <w:ind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7"/>
        <w:spacing w:after="288" w:afterLines="120" w:line="312" w:lineRule="auto"/>
        <w:ind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10"/>
        <w:spacing w:before="120" w:after="288" w:afterLines="120" w:line="312" w:lineRule="auto"/>
        <w:rPr>
          <w:color w:val="auto"/>
          <w:sz w:val="24"/>
          <w:szCs w:val="24"/>
          <w:lang w:eastAsia="en-US"/>
        </w:rPr>
      </w:pPr>
      <w:r>
        <w:rPr>
          <w:color w:val="auto"/>
          <w:sz w:val="24"/>
          <w:szCs w:val="24"/>
          <w:lang w:eastAsia="en-US"/>
        </w:rPr>
        <w:t>Prazo de pagamento</w:t>
      </w:r>
    </w:p>
    <w:p>
      <w:pPr>
        <w:pStyle w:val="57"/>
        <w:spacing w:after="288" w:afterLines="120" w:line="312" w:lineRule="auto"/>
        <w:ind w:firstLine="709"/>
        <w:rPr>
          <w:sz w:val="24"/>
          <w:szCs w:val="24"/>
        </w:rPr>
      </w:pPr>
      <w:r>
        <w:rPr>
          <w:sz w:val="24"/>
          <w:szCs w:val="24"/>
        </w:rPr>
        <w:t xml:space="preserve">O pagamento será efetuado no prazo de até </w:t>
      </w:r>
      <w:r>
        <w:rPr>
          <w:sz w:val="24"/>
          <w:szCs w:val="24"/>
          <w:highlight w:val="yellow"/>
        </w:rPr>
        <w:t>trinta</w:t>
      </w:r>
      <w:r>
        <w:rPr>
          <w:sz w:val="24"/>
          <w:szCs w:val="24"/>
        </w:rPr>
        <w:t xml:space="preserve"> dias, contados da finalização da liquidação da despesa.</w:t>
      </w:r>
    </w:p>
    <w:p>
      <w:pPr>
        <w:pStyle w:val="110"/>
        <w:spacing w:before="120" w:after="288" w:afterLines="120" w:line="312" w:lineRule="auto"/>
        <w:rPr>
          <w:color w:val="auto"/>
          <w:sz w:val="24"/>
          <w:szCs w:val="24"/>
          <w:lang w:eastAsia="en-US"/>
        </w:rPr>
      </w:pPr>
      <w:r>
        <w:rPr>
          <w:color w:val="auto"/>
          <w:sz w:val="24"/>
          <w:szCs w:val="24"/>
          <w:lang w:eastAsia="en-US"/>
        </w:rPr>
        <w:t>Forma de pagamento</w:t>
      </w:r>
    </w:p>
    <w:p>
      <w:pPr>
        <w:pStyle w:val="57"/>
        <w:spacing w:after="288" w:afterLines="120" w:line="312" w:lineRule="auto"/>
        <w:ind w:firstLine="709"/>
        <w:rPr>
          <w:sz w:val="24"/>
          <w:szCs w:val="24"/>
          <w:lang w:eastAsia="en-US"/>
        </w:rPr>
      </w:pPr>
      <w:r>
        <w:rPr>
          <w:sz w:val="24"/>
          <w:szCs w:val="24"/>
          <w:lang w:eastAsia="en-US"/>
        </w:rPr>
        <w:t>O pagamento será realizado por meio de ordem bancária, para crédito em banco, agência e conta corrente indicados pelo contratado.</w:t>
      </w:r>
    </w:p>
    <w:p>
      <w:pPr>
        <w:pStyle w:val="57"/>
        <w:spacing w:after="288" w:afterLines="120" w:line="312" w:lineRule="auto"/>
        <w:ind w:firstLine="709"/>
        <w:rPr>
          <w:sz w:val="24"/>
          <w:szCs w:val="24"/>
          <w:lang w:eastAsia="en-US"/>
        </w:rPr>
      </w:pPr>
      <w:r>
        <w:rPr>
          <w:sz w:val="24"/>
          <w:szCs w:val="24"/>
          <w:lang w:eastAsia="en-US"/>
        </w:rPr>
        <w:t>Será considerada data do pagamento o dia em que constar como emitida a ordem bancária para pagamento.</w:t>
      </w:r>
    </w:p>
    <w:p>
      <w:pPr>
        <w:pStyle w:val="57"/>
        <w:spacing w:after="288" w:afterLines="120" w:line="312" w:lineRule="auto"/>
        <w:ind w:firstLine="709"/>
        <w:rPr>
          <w:sz w:val="24"/>
          <w:szCs w:val="24"/>
          <w:lang w:eastAsia="en-US"/>
        </w:rPr>
      </w:pPr>
      <w:r>
        <w:rPr>
          <w:sz w:val="24"/>
          <w:szCs w:val="24"/>
          <w:lang w:eastAsia="en-US"/>
        </w:rPr>
        <w:t>Quando do pagamento, será efetuada a retenção tributária prevista na legislação aplicável.</w:t>
      </w:r>
    </w:p>
    <w:p>
      <w:pPr>
        <w:pStyle w:val="59"/>
        <w:spacing w:after="288"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7"/>
        <w:spacing w:after="288" w:afterLines="120" w:line="312" w:lineRule="auto"/>
        <w:ind w:firstLine="709"/>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5"/>
          <w:sz w:val="24"/>
          <w:szCs w:val="24"/>
          <w:lang w:eastAsia="en-US"/>
        </w:rPr>
        <w:t>Lei Complementar nº 123, de 2006</w:t>
      </w:r>
      <w:r>
        <w:rPr>
          <w:rStyle w:val="15"/>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40"/>
        <w:spacing w:before="120" w:after="288" w:afterLines="120" w:line="312" w:lineRule="auto"/>
        <w:ind w:left="357" w:hanging="357"/>
        <w:rPr>
          <w:sz w:val="24"/>
          <w:szCs w:val="24"/>
        </w:rPr>
      </w:pPr>
      <w:r>
        <w:rPr>
          <w:sz w:val="24"/>
          <w:szCs w:val="24"/>
        </w:rPr>
        <w:t>FORMA E CRITÉRIOS DE SELEÇÃO DO FORNECEDOR</w:t>
      </w:r>
    </w:p>
    <w:p>
      <w:pPr>
        <w:pStyle w:val="110"/>
        <w:spacing w:before="120" w:after="288" w:afterLines="120" w:line="312" w:lineRule="auto"/>
        <w:rPr>
          <w:color w:val="auto"/>
          <w:sz w:val="24"/>
          <w:szCs w:val="24"/>
          <w:highlight w:val="yellow"/>
        </w:rPr>
      </w:pPr>
      <w:r>
        <w:rPr>
          <w:color w:val="auto"/>
          <w:sz w:val="24"/>
          <w:szCs w:val="24"/>
          <w:lang w:eastAsia="en-US"/>
        </w:rPr>
        <w:t>Forma de seleção e critério de julgamento da proposta</w:t>
      </w:r>
    </w:p>
    <w:p>
      <w:pPr>
        <w:pStyle w:val="57"/>
        <w:spacing w:after="288" w:afterLines="120" w:line="312" w:lineRule="auto"/>
        <w:ind w:firstLine="709"/>
        <w:rPr>
          <w:sz w:val="24"/>
          <w:szCs w:val="24"/>
        </w:rPr>
      </w:pPr>
      <w:r>
        <w:rPr>
          <w:rFonts w:eastAsia="Arial"/>
          <w:sz w:val="24"/>
          <w:szCs w:val="24"/>
        </w:rPr>
        <w:t>O fornecedor será selecionado por meio da realização de procedimento de LICITAÇÃO, na modalidade</w:t>
      </w:r>
      <w:r>
        <w:rPr>
          <w:rFonts w:hint="default" w:eastAsia="Arial"/>
          <w:sz w:val="24"/>
          <w:szCs w:val="24"/>
          <w:lang w:val="pt-BR"/>
        </w:rPr>
        <w:t xml:space="preserve"> Pregão: Registro de Preços</w:t>
      </w:r>
      <w:r>
        <w:rPr>
          <w:rFonts w:eastAsia="Arial"/>
          <w:sz w:val="24"/>
          <w:szCs w:val="24"/>
        </w:rPr>
        <w:t xml:space="preserve">, sob a forma ELETRÔNICA, com adoção do critério de julgamento pelo </w:t>
      </w:r>
      <w:r>
        <w:rPr>
          <w:rFonts w:hint="default" w:eastAsia="Arial"/>
          <w:sz w:val="24"/>
          <w:szCs w:val="24"/>
          <w:lang w:val="pt-BR"/>
        </w:rPr>
        <w:t xml:space="preserve">menor preço por ítem. </w:t>
      </w:r>
    </w:p>
    <w:p>
      <w:pPr>
        <w:pStyle w:val="57"/>
        <w:spacing w:after="288" w:afterLines="120" w:line="312" w:lineRule="auto"/>
        <w:ind w:firstLine="709"/>
        <w:rPr>
          <w:sz w:val="24"/>
          <w:szCs w:val="24"/>
          <w:highlight w:val="none"/>
        </w:rPr>
      </w:pPr>
      <w:r>
        <w:rPr>
          <w:rFonts w:hint="default"/>
          <w:sz w:val="24"/>
          <w:szCs w:val="24"/>
          <w:highlight w:val="none"/>
        </w:rPr>
        <w:t>Devido à natureza do registro de preços, é importante ressaltar que as quantidades estimadas não podem ser previstas com precisão absoluta, uma vez que estão sujeitas a variações decorrentes de diversos eventos. As estimativas de quantidades fornecidas são apenas referenciais e podem variar ao longo do período de fornecimento</w:t>
      </w:r>
      <w:r>
        <w:rPr>
          <w:rFonts w:hint="default"/>
          <w:sz w:val="24"/>
          <w:szCs w:val="24"/>
          <w:highlight w:val="none"/>
          <w:lang w:val="pt-BR"/>
        </w:rPr>
        <w:t>. Observa-se, portanto, que a eventualidade do fornecimento e a imprevisibilidade da demanda são requisitos essenciais para a utilização do sistema de registro de preços, devendo SEMPRE a Administração Pública presentar justificativa de que os serviços e/ou os bens que serão adquiridos não são suscetíveis de quantificação e entrega em período certo ou previsível, nos termos do entendimento ora exposto</w:t>
      </w:r>
      <w:bookmarkStart w:id="1" w:name="_GoBack"/>
      <w:bookmarkEnd w:id="1"/>
      <w:r>
        <w:rPr>
          <w:rFonts w:hint="default"/>
          <w:sz w:val="24"/>
          <w:szCs w:val="24"/>
          <w:highlight w:val="none"/>
        </w:rPr>
        <w:t>.</w:t>
      </w:r>
    </w:p>
    <w:p>
      <w:pPr>
        <w:pStyle w:val="110"/>
        <w:spacing w:before="120" w:after="288" w:afterLines="120" w:line="312" w:lineRule="auto"/>
        <w:rPr>
          <w:color w:val="auto"/>
          <w:sz w:val="24"/>
          <w:szCs w:val="24"/>
        </w:rPr>
      </w:pPr>
      <w:r>
        <w:rPr>
          <w:color w:val="auto"/>
          <w:sz w:val="24"/>
          <w:szCs w:val="24"/>
          <w:lang w:eastAsia="en-US"/>
        </w:rPr>
        <w:t>Exigências de habilitação</w:t>
      </w:r>
    </w:p>
    <w:p>
      <w:pPr>
        <w:pStyle w:val="57"/>
        <w:spacing w:after="288" w:afterLines="120" w:line="312" w:lineRule="auto"/>
        <w:ind w:firstLine="709"/>
        <w:rPr>
          <w:sz w:val="24"/>
          <w:szCs w:val="24"/>
        </w:rPr>
      </w:pPr>
      <w:r>
        <w:rPr>
          <w:sz w:val="24"/>
          <w:szCs w:val="24"/>
        </w:rPr>
        <w:t>Para fins de habilitação, deverá o licitante comprovar os seguintes requisitos:</w:t>
      </w:r>
    </w:p>
    <w:p>
      <w:pPr>
        <w:pStyle w:val="110"/>
        <w:spacing w:before="120" w:after="288" w:afterLines="120" w:line="312" w:lineRule="auto"/>
        <w:rPr>
          <w:color w:val="auto"/>
          <w:sz w:val="24"/>
          <w:szCs w:val="24"/>
          <w:lang w:eastAsia="zh-CN" w:bidi="hi-IN"/>
        </w:rPr>
      </w:pPr>
      <w:r>
        <w:rPr>
          <w:color w:val="auto"/>
          <w:sz w:val="24"/>
          <w:szCs w:val="24"/>
          <w:lang w:eastAsia="zh-CN" w:bidi="hi-IN"/>
        </w:rPr>
        <w:t>Habilitação jurídica</w:t>
      </w:r>
    </w:p>
    <w:p>
      <w:pPr>
        <w:pStyle w:val="57"/>
        <w:spacing w:after="288" w:afterLines="120" w:line="312" w:lineRule="auto"/>
        <w:ind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5"/>
          <w:sz w:val="24"/>
          <w:szCs w:val="24"/>
        </w:rPr>
        <w:t>https://www.gov.br/empresas-e-negocios/pt-br/empreendedor</w:t>
      </w:r>
      <w:r>
        <w:rPr>
          <w:rStyle w:val="15"/>
          <w:sz w:val="24"/>
          <w:szCs w:val="24"/>
        </w:rPr>
        <w:fldChar w:fldCharType="end"/>
      </w:r>
      <w:r>
        <w:rPr>
          <w:sz w:val="24"/>
          <w:szCs w:val="24"/>
        </w:rPr>
        <w:t xml:space="preserve">; </w:t>
      </w:r>
    </w:p>
    <w:p>
      <w:pPr>
        <w:pStyle w:val="57"/>
        <w:spacing w:after="288" w:afterLines="120" w:line="312" w:lineRule="auto"/>
        <w:ind w:firstLine="709"/>
        <w:rPr>
          <w:sz w:val="24"/>
          <w:szCs w:val="24"/>
          <w:highlight w:val="none"/>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w:t>
      </w:r>
      <w:r>
        <w:rPr>
          <w:sz w:val="24"/>
          <w:szCs w:val="24"/>
          <w:highlight w:val="none"/>
        </w:rPr>
        <w:t>documento comprobatório de seus administradores;</w:t>
      </w:r>
    </w:p>
    <w:p>
      <w:pPr>
        <w:pStyle w:val="57"/>
        <w:spacing w:after="288" w:afterLines="120" w:line="312" w:lineRule="auto"/>
        <w:ind w:firstLine="709"/>
        <w:rPr>
          <w:sz w:val="24"/>
          <w:szCs w:val="24"/>
          <w:highlight w:val="none"/>
        </w:rPr>
      </w:pPr>
      <w:r>
        <w:rPr>
          <w:b/>
          <w:bCs/>
          <w:sz w:val="24"/>
          <w:szCs w:val="24"/>
          <w:highlight w:val="none"/>
        </w:rPr>
        <w:t>Sociedade empresária estrangeira:</w:t>
      </w:r>
      <w:r>
        <w:rPr>
          <w:sz w:val="24"/>
          <w:szCs w:val="24"/>
          <w:highlight w:val="none"/>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7"/>
        <w:spacing w:after="288" w:afterLines="120" w:line="312" w:lineRule="auto"/>
        <w:ind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7"/>
        <w:spacing w:after="288" w:afterLines="120" w:line="312" w:lineRule="auto"/>
        <w:ind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pStyle w:val="110"/>
        <w:spacing w:before="120" w:after="288"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7"/>
        <w:spacing w:after="288" w:afterLines="120" w:line="312" w:lineRule="auto"/>
        <w:ind w:firstLine="709"/>
        <w:rPr>
          <w:sz w:val="24"/>
          <w:szCs w:val="24"/>
        </w:rPr>
      </w:pPr>
      <w:r>
        <w:rPr>
          <w:sz w:val="24"/>
          <w:szCs w:val="24"/>
        </w:rPr>
        <w:t>Prova de inscrição no Cadastro Nacional de Pessoas Jurídicas ou no Cadastro de Pessoas Físicas, conforme o caso;</w:t>
      </w:r>
    </w:p>
    <w:p>
      <w:pPr>
        <w:pStyle w:val="57"/>
        <w:spacing w:after="288" w:afterLines="120" w:line="312" w:lineRule="auto"/>
        <w:ind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7"/>
        <w:spacing w:after="288" w:afterLines="120" w:line="312" w:lineRule="auto"/>
        <w:ind w:firstLine="709"/>
        <w:rPr>
          <w:sz w:val="24"/>
          <w:szCs w:val="24"/>
        </w:rPr>
      </w:pPr>
      <w:r>
        <w:rPr>
          <w:sz w:val="24"/>
          <w:szCs w:val="24"/>
        </w:rPr>
        <w:t>Prova de regularidade com o Fundo de Garantia do Tempo de Serviço (FGTS);</w:t>
      </w:r>
    </w:p>
    <w:p>
      <w:pPr>
        <w:pStyle w:val="57"/>
        <w:spacing w:after="288" w:afterLines="120" w:line="312" w:lineRule="auto"/>
        <w:ind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7"/>
        <w:spacing w:after="288" w:afterLines="120" w:line="312" w:lineRule="auto"/>
        <w:ind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7"/>
        <w:spacing w:after="288" w:afterLines="120" w:line="312" w:lineRule="auto"/>
        <w:ind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7"/>
        <w:spacing w:after="288" w:afterLines="120" w:line="312" w:lineRule="auto"/>
        <w:ind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7"/>
        <w:spacing w:after="288" w:afterLines="120" w:line="312" w:lineRule="auto"/>
        <w:ind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10"/>
        <w:spacing w:before="120" w:after="288" w:afterLines="120" w:line="312" w:lineRule="auto"/>
        <w:rPr>
          <w:color w:val="auto"/>
          <w:sz w:val="24"/>
          <w:szCs w:val="24"/>
          <w:lang w:eastAsia="zh-CN" w:bidi="hi-IN"/>
        </w:rPr>
      </w:pPr>
      <w:r>
        <w:rPr>
          <w:color w:val="auto"/>
          <w:sz w:val="24"/>
          <w:szCs w:val="24"/>
          <w:lang w:eastAsia="zh-CN" w:bidi="hi-IN"/>
        </w:rPr>
        <w:t>Qualificação Econômico-Financeira</w:t>
      </w:r>
    </w:p>
    <w:p>
      <w:pPr>
        <w:pStyle w:val="57"/>
        <w:spacing w:after="288" w:afterLines="120" w:line="312" w:lineRule="auto"/>
        <w:ind w:firstLine="709"/>
        <w:rPr>
          <w:rFonts w:hint="default" w:ascii="Arial" w:hAnsi="Arial"/>
          <w:color w:val="000000"/>
          <w:sz w:val="24"/>
          <w:szCs w:val="24"/>
          <w:lang w:val="pt-BR"/>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5"/>
          <w:sz w:val="24"/>
          <w:szCs w:val="24"/>
        </w:rPr>
        <w:t>Lei nº 14.133, de 2021, art. 69, caput, inciso II</w:t>
      </w:r>
      <w:r>
        <w:rPr>
          <w:rStyle w:val="15"/>
          <w:sz w:val="24"/>
          <w:szCs w:val="24"/>
        </w:rPr>
        <w:fldChar w:fldCharType="end"/>
      </w:r>
      <w:r>
        <w:rPr>
          <w:sz w:val="24"/>
          <w:szCs w:val="24"/>
        </w:rPr>
        <w:t>);</w:t>
      </w:r>
    </w:p>
    <w:p>
      <w:pPr>
        <w:pStyle w:val="57"/>
        <w:spacing w:after="288" w:afterLines="120" w:line="312" w:lineRule="auto"/>
        <w:ind w:firstLine="709"/>
        <w:rPr>
          <w:sz w:val="24"/>
          <w:szCs w:val="24"/>
        </w:rPr>
      </w:pPr>
      <w:r>
        <w:rPr>
          <w:rFonts w:hint="default" w:ascii="Arial" w:hAnsi="Arial"/>
          <w:color w:val="000000"/>
          <w:sz w:val="24"/>
          <w:szCs w:val="24"/>
        </w:rPr>
        <w:t>Balanço patrimonial, demonstração de resultado de exercício e demais demonstrações contábeis relativos ao último exercício 2023</w:t>
      </w:r>
      <w:r>
        <w:rPr>
          <w:rFonts w:hint="default" w:ascii="Arial" w:hAnsi="Arial"/>
          <w:color w:val="000000"/>
          <w:sz w:val="24"/>
          <w:szCs w:val="24"/>
          <w:lang w:val="en-US"/>
        </w:rPr>
        <w:t xml:space="preserve">. </w:t>
      </w:r>
    </w:p>
    <w:p>
      <w:pPr>
        <w:pStyle w:val="57"/>
        <w:spacing w:after="288" w:afterLines="120" w:line="312" w:lineRule="auto"/>
        <w:ind w:firstLine="709"/>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110"/>
        <w:spacing w:before="120" w:after="288" w:afterLines="120" w:line="312" w:lineRule="auto"/>
        <w:rPr>
          <w:color w:val="auto"/>
          <w:sz w:val="24"/>
          <w:szCs w:val="24"/>
          <w:lang w:eastAsia="zh-CN" w:bidi="hi-IN"/>
        </w:rPr>
      </w:pPr>
      <w:r>
        <w:rPr>
          <w:color w:val="auto"/>
          <w:sz w:val="24"/>
          <w:szCs w:val="24"/>
          <w:lang w:eastAsia="zh-CN" w:bidi="hi-IN"/>
        </w:rPr>
        <w:t>Qualificação Técnica</w:t>
      </w:r>
    </w:p>
    <w:p>
      <w:pPr>
        <w:pStyle w:val="104"/>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Comprovação de aptidão para o fornecimento de bens/serviços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4"/>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Será admitida, para fins de comprovação de quantitativo mínimo, a apresentação e o somatório de diferentes atestados executados de forma concomitante.</w:t>
      </w:r>
    </w:p>
    <w:p>
      <w:pPr>
        <w:pStyle w:val="104"/>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Os atestados de capacidade técnica poderão ser apresentados em nome da matriz ou da filial do fornecedor.</w:t>
      </w:r>
    </w:p>
    <w:p>
      <w:pPr>
        <w:pStyle w:val="40"/>
        <w:spacing w:before="120" w:after="288" w:afterLines="120" w:line="312" w:lineRule="auto"/>
        <w:rPr>
          <w:sz w:val="24"/>
          <w:szCs w:val="24"/>
        </w:rPr>
      </w:pPr>
      <w:r>
        <w:rPr>
          <w:sz w:val="24"/>
          <w:szCs w:val="24"/>
        </w:rPr>
        <w:t>ESTIMATIVAS DO VALOR DA CONTRATAÇÃO</w:t>
      </w:r>
    </w:p>
    <w:p>
      <w:pPr>
        <w:pStyle w:val="104"/>
        <w:spacing w:after="288" w:afterLines="120" w:line="312" w:lineRule="auto"/>
        <w:ind w:firstLine="709"/>
        <w:rPr>
          <w:b/>
          <w:bCs/>
          <w:i w:val="0"/>
          <w:iCs w:val="0"/>
          <w:color w:val="auto"/>
          <w:sz w:val="24"/>
          <w:szCs w:val="24"/>
          <w:highlight w:val="none"/>
        </w:rPr>
      </w:pPr>
      <w:permStart w:id="0" w:edGrp="everyone"/>
      <w:r>
        <w:rPr>
          <w:rFonts w:hint="default"/>
          <w:i w:val="0"/>
          <w:iCs w:val="0"/>
          <w:color w:val="auto"/>
          <w:sz w:val="24"/>
          <w:szCs w:val="24"/>
          <w:highlight w:val="none"/>
        </w:rPr>
        <w:t>O custo estimado total da contratação está na tabela encaminhada pelo departamento de Suprimentos em anexo.</w:t>
      </w:r>
    </w:p>
    <w:permEnd w:id="0"/>
    <w:p>
      <w:pPr>
        <w:pStyle w:val="104"/>
        <w:spacing w:after="288" w:afterLines="120" w:line="312" w:lineRule="auto"/>
        <w:ind w:firstLine="709"/>
        <w:rPr>
          <w:i w:val="0"/>
          <w:iCs w:val="0"/>
          <w:color w:val="auto"/>
          <w:sz w:val="24"/>
          <w:szCs w:val="24"/>
        </w:rPr>
      </w:pPr>
      <w:r>
        <w:rPr>
          <w:i w:val="0"/>
          <w:iCs w:val="0"/>
          <w:color w:val="auto"/>
          <w:sz w:val="24"/>
          <w:szCs w:val="24"/>
        </w:rPr>
        <w:t>A estimativa de custo levou em consideração o risco envolvido na contratação e sua alocação entre contratante e contratado, conforme especificado na matriz de risco constante do Contrato.</w:t>
      </w:r>
    </w:p>
    <w:p>
      <w:pPr>
        <w:pStyle w:val="40"/>
        <w:spacing w:before="120" w:after="288" w:afterLines="120" w:line="312" w:lineRule="auto"/>
        <w:rPr>
          <w:sz w:val="24"/>
          <w:szCs w:val="24"/>
        </w:rPr>
      </w:pPr>
      <w:r>
        <w:rPr>
          <w:sz w:val="24"/>
          <w:szCs w:val="24"/>
        </w:rPr>
        <w:t>ADEQUAÇÃO ORÇAMENTÁRIA</w:t>
      </w:r>
    </w:p>
    <w:p>
      <w:pPr>
        <w:pStyle w:val="57"/>
        <w:spacing w:after="288" w:afterLines="120" w:line="312" w:lineRule="auto"/>
        <w:ind w:firstLine="709"/>
        <w:rPr>
          <w:sz w:val="24"/>
          <w:szCs w:val="24"/>
        </w:rPr>
      </w:pPr>
      <w:r>
        <w:rPr>
          <w:rFonts w:eastAsia="Arial"/>
          <w:sz w:val="24"/>
          <w:szCs w:val="24"/>
        </w:rPr>
        <w:t>As despesas decorrentes da presente contratação correrão à conta de recursos específicos consignados no Orçamento Geral do Município.</w:t>
      </w:r>
    </w:p>
    <w:p>
      <w:pPr>
        <w:pStyle w:val="57"/>
        <w:numPr>
          <w:ilvl w:val="0"/>
          <w:numId w:val="0"/>
        </w:numPr>
        <w:spacing w:after="288" w:afterLines="120" w:line="312" w:lineRule="auto"/>
        <w:rPr>
          <w:i/>
          <w:iCs/>
          <w:color w:val="FF0000"/>
          <w:sz w:val="24"/>
          <w:szCs w:val="24"/>
        </w:rPr>
      </w:pPr>
    </w:p>
    <w:p>
      <w:pPr>
        <w:pStyle w:val="57"/>
        <w:numPr>
          <w:ilvl w:val="0"/>
          <w:numId w:val="0"/>
        </w:numPr>
        <w:spacing w:afterLines="120" w:line="312" w:lineRule="auto"/>
        <w:jc w:val="left"/>
        <w:rPr>
          <w:rFonts w:hint="default"/>
          <w:color w:val="auto"/>
          <w:sz w:val="24"/>
          <w:szCs w:val="24"/>
          <w:highlight w:val="none"/>
          <w:lang w:val="pt-BR"/>
        </w:rPr>
      </w:pPr>
      <w:r>
        <w:rPr>
          <w:color w:val="auto"/>
          <w:sz w:val="24"/>
          <w:szCs w:val="24"/>
          <w:highlight w:val="yellow"/>
        </w:rPr>
        <w:t>[</w:t>
      </w:r>
      <w:permStart w:id="1" w:edGrp="everyone"/>
      <w:r>
        <w:rPr>
          <w:rFonts w:hint="default"/>
          <w:color w:val="auto"/>
          <w:sz w:val="24"/>
          <w:szCs w:val="24"/>
          <w:highlight w:val="none"/>
          <w:lang w:val="pt-BR"/>
        </w:rPr>
        <w:t>Arcos/MG, 24 de junho de 2024.</w:t>
      </w:r>
    </w:p>
    <w:p>
      <w:pPr>
        <w:pStyle w:val="57"/>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both"/>
        <w:textAlignment w:val="auto"/>
        <w:rPr>
          <w:rFonts w:hint="default"/>
          <w:color w:val="auto"/>
          <w:sz w:val="24"/>
          <w:szCs w:val="24"/>
          <w:highlight w:val="none"/>
          <w:lang w:val="pt-BR"/>
        </w:rPr>
      </w:pPr>
    </w:p>
    <w:p>
      <w:pPr>
        <w:pStyle w:val="57"/>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p>
    <w:bookmarkEnd w:id="0"/>
    <w:p>
      <w:pPr>
        <w:pStyle w:val="57"/>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p>
    <w:permEnd w:id="1"/>
    <w:p>
      <w:pPr>
        <w:pStyle w:val="57"/>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r>
        <w:rPr>
          <w:rFonts w:hint="default"/>
          <w:color w:val="auto"/>
          <w:sz w:val="24"/>
          <w:szCs w:val="24"/>
          <w:highlight w:val="none"/>
          <w:lang w:val="pt-BR"/>
        </w:rPr>
        <w:t>_____________________________________</w:t>
      </w:r>
    </w:p>
    <w:p>
      <w:pPr>
        <w:pStyle w:val="57"/>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b w:val="0"/>
          <w:bCs w:val="0"/>
          <w:sz w:val="24"/>
          <w:szCs w:val="24"/>
          <w:lang w:val="pt-BR"/>
        </w:rPr>
      </w:pPr>
      <w:r>
        <w:rPr>
          <w:rFonts w:hint="default" w:ascii="Arial" w:hAnsi="Arial" w:cs="Arial"/>
          <w:i w:val="0"/>
          <w:iCs w:val="0"/>
          <w:color w:val="000000"/>
          <w:sz w:val="24"/>
          <w:szCs w:val="24"/>
          <w:u w:val="none"/>
          <w:vertAlign w:val="baseline"/>
          <w:lang w:val="pt-BR"/>
        </w:rPr>
        <w:t xml:space="preserve"> </w:t>
      </w:r>
      <w:r>
        <w:rPr>
          <w:rFonts w:hint="default"/>
          <w:b w:val="0"/>
          <w:bCs w:val="0"/>
          <w:sz w:val="24"/>
          <w:szCs w:val="24"/>
          <w:lang w:val="pt-BR"/>
        </w:rPr>
        <w:t xml:space="preserve">Daniel Ribeiro de Mendonça </w:t>
      </w:r>
    </w:p>
    <w:p>
      <w:pPr>
        <w:pStyle w:val="57"/>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Arial" w:hAnsi="Arial" w:cs="Arial"/>
          <w:lang w:val="pt-BR"/>
        </w:rPr>
      </w:pPr>
      <w:r>
        <w:rPr>
          <w:rFonts w:hint="default"/>
          <w:color w:val="auto"/>
          <w:sz w:val="24"/>
          <w:szCs w:val="24"/>
          <w:highlight w:val="none"/>
          <w:lang w:val="pt-BR"/>
        </w:rPr>
        <w:t>Secretário Municipal de Obras e Serviços Públicos.</w:t>
      </w:r>
    </w:p>
    <w:sectPr>
      <w:headerReference r:id="rId3" w:type="default"/>
      <w:footerReference r:id="rId4"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Liberation Sans">
    <w:altName w:val="Arial"/>
    <w:panose1 w:val="00000000000000000000"/>
    <w:charset w:val="00"/>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Segoe Print"/>
    <w:panose1 w:val="02020603050405020304"/>
    <w:charset w:val="01"/>
    <w:family w:val="roman"/>
    <w:pitch w:val="default"/>
    <w:sig w:usb0="00000000" w:usb1="00000000"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Open Sans">
    <w:altName w:val="Times New Roman"/>
    <w:panose1 w:val="00000000000000000000"/>
    <w:charset w:val="00"/>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anchor distT="0" distB="0" distL="114300" distR="114300" simplePos="0" relativeHeight="251659264" behindDoc="0" locked="0" layoutInCell="1" allowOverlap="1">
          <wp:simplePos x="0" y="0"/>
          <wp:positionH relativeFrom="column">
            <wp:posOffset>1360170</wp:posOffset>
          </wp:positionH>
          <wp:positionV relativeFrom="paragraph">
            <wp:posOffset>6350</wp:posOffset>
          </wp:positionV>
          <wp:extent cx="3731895" cy="643890"/>
          <wp:effectExtent l="0" t="0" r="0" b="381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3731895" cy="6438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8"/>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40"/>
      <w:lvlText w:val="%1."/>
      <w:lvlJc w:val="left"/>
      <w:pPr>
        <w:ind w:left="360" w:hanging="360"/>
      </w:pPr>
      <w:rPr>
        <w:b/>
      </w:rPr>
    </w:lvl>
    <w:lvl w:ilvl="1" w:tentative="0">
      <w:start w:val="1"/>
      <w:numFmt w:val="decimal"/>
      <w:pStyle w:val="57"/>
      <w:lvlText w:val="%1.%2."/>
      <w:lvlJc w:val="left"/>
      <w:pPr>
        <w:ind w:left="999" w:hanging="432"/>
      </w:pPr>
      <w:rPr>
        <w:b w:val="0"/>
        <w:i w:val="0"/>
        <w:strike w:val="0"/>
        <w:color w:val="auto"/>
        <w:sz w:val="20"/>
        <w:szCs w:val="20"/>
        <w:u w:val="none"/>
      </w:rPr>
    </w:lvl>
    <w:lvl w:ilvl="2" w:tentative="0">
      <w:start w:val="1"/>
      <w:numFmt w:val="decimal"/>
      <w:pStyle w:val="59"/>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60"/>
      <w:lvlText w:val="%1.%2.%3.%4."/>
      <w:lvlJc w:val="left"/>
      <w:pPr>
        <w:ind w:left="2491" w:hanging="648"/>
      </w:pPr>
    </w:lvl>
    <w:lvl w:ilvl="4" w:tentative="0">
      <w:start w:val="1"/>
      <w:numFmt w:val="decimal"/>
      <w:pStyle w:val="61"/>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characterSpacingControl w:val="doNotCompress"/>
  <w:hdrShapeDefaults>
    <o:shapelayout v:ext="edit">
      <o:idmap v:ext="edit" data="1"/>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1775B"/>
    <w:rsid w:val="063653B2"/>
    <w:rsid w:val="07AA743C"/>
    <w:rsid w:val="0825C528"/>
    <w:rsid w:val="09BD2C94"/>
    <w:rsid w:val="0AB4EB49"/>
    <w:rsid w:val="0B153EAE"/>
    <w:rsid w:val="0C72485D"/>
    <w:rsid w:val="0C9E538D"/>
    <w:rsid w:val="0CD8499C"/>
    <w:rsid w:val="0DA1B3F3"/>
    <w:rsid w:val="0DB0AC54"/>
    <w:rsid w:val="0EFA3098"/>
    <w:rsid w:val="0F79B9D7"/>
    <w:rsid w:val="100E06B1"/>
    <w:rsid w:val="106278F6"/>
    <w:rsid w:val="10E0D201"/>
    <w:rsid w:val="11041DAD"/>
    <w:rsid w:val="114D992C"/>
    <w:rsid w:val="135B6EBA"/>
    <w:rsid w:val="15FB6522"/>
    <w:rsid w:val="165C66F7"/>
    <w:rsid w:val="16649FEF"/>
    <w:rsid w:val="174854AE"/>
    <w:rsid w:val="187314D3"/>
    <w:rsid w:val="18BF1EA7"/>
    <w:rsid w:val="193305E4"/>
    <w:rsid w:val="1A0CC7BE"/>
    <w:rsid w:val="1AB5ADE8"/>
    <w:rsid w:val="1AECDB15"/>
    <w:rsid w:val="1C3EC466"/>
    <w:rsid w:val="1C8CA1DF"/>
    <w:rsid w:val="1CA52D74"/>
    <w:rsid w:val="1CD861F4"/>
    <w:rsid w:val="1D38DAFD"/>
    <w:rsid w:val="21D19061"/>
    <w:rsid w:val="21E662A0"/>
    <w:rsid w:val="225CA34E"/>
    <w:rsid w:val="23272055"/>
    <w:rsid w:val="242F06C7"/>
    <w:rsid w:val="24DF3391"/>
    <w:rsid w:val="2657C157"/>
    <w:rsid w:val="26789B7A"/>
    <w:rsid w:val="27D707DD"/>
    <w:rsid w:val="29B3559A"/>
    <w:rsid w:val="29F468E2"/>
    <w:rsid w:val="2A115A7D"/>
    <w:rsid w:val="2A1767DC"/>
    <w:rsid w:val="2B4D64D2"/>
    <w:rsid w:val="2B7872A7"/>
    <w:rsid w:val="2BD857AB"/>
    <w:rsid w:val="2C50268F"/>
    <w:rsid w:val="2E29257B"/>
    <w:rsid w:val="2E715A7F"/>
    <w:rsid w:val="2F33A853"/>
    <w:rsid w:val="3003D639"/>
    <w:rsid w:val="3022A7F5"/>
    <w:rsid w:val="30CF78B4"/>
    <w:rsid w:val="34A1E81C"/>
    <w:rsid w:val="35A92963"/>
    <w:rsid w:val="36EC78EE"/>
    <w:rsid w:val="36F4710C"/>
    <w:rsid w:val="390C2635"/>
    <w:rsid w:val="3920A23A"/>
    <w:rsid w:val="396C1E89"/>
    <w:rsid w:val="399A2B53"/>
    <w:rsid w:val="3AE9E302"/>
    <w:rsid w:val="3B9683F7"/>
    <w:rsid w:val="3BCB3C2E"/>
    <w:rsid w:val="3CAB666A"/>
    <w:rsid w:val="3CD52E87"/>
    <w:rsid w:val="40993BDC"/>
    <w:rsid w:val="411272C2"/>
    <w:rsid w:val="42037750"/>
    <w:rsid w:val="4284D176"/>
    <w:rsid w:val="42E0FEE6"/>
    <w:rsid w:val="446868FA"/>
    <w:rsid w:val="449EE389"/>
    <w:rsid w:val="44A8FB23"/>
    <w:rsid w:val="4638CD78"/>
    <w:rsid w:val="471E9E97"/>
    <w:rsid w:val="484339E3"/>
    <w:rsid w:val="48703D10"/>
    <w:rsid w:val="48C08A7A"/>
    <w:rsid w:val="4A7F7C05"/>
    <w:rsid w:val="4AD3BACB"/>
    <w:rsid w:val="4B428375"/>
    <w:rsid w:val="4B8F2946"/>
    <w:rsid w:val="4BA86ED4"/>
    <w:rsid w:val="4BFD138B"/>
    <w:rsid w:val="4D338AB3"/>
    <w:rsid w:val="4DA660FE"/>
    <w:rsid w:val="4E973839"/>
    <w:rsid w:val="510F3074"/>
    <w:rsid w:val="512C7C40"/>
    <w:rsid w:val="515AB37A"/>
    <w:rsid w:val="5189942C"/>
    <w:rsid w:val="52F683DB"/>
    <w:rsid w:val="532B3C12"/>
    <w:rsid w:val="55FA4715"/>
    <w:rsid w:val="5658C53A"/>
    <w:rsid w:val="569C1CFF"/>
    <w:rsid w:val="583BAD14"/>
    <w:rsid w:val="58ED34F0"/>
    <w:rsid w:val="5B58F1E4"/>
    <w:rsid w:val="5BCB2A5F"/>
    <w:rsid w:val="5C061760"/>
    <w:rsid w:val="5CD15AEC"/>
    <w:rsid w:val="5E1E1829"/>
    <w:rsid w:val="5EE1B42A"/>
    <w:rsid w:val="607D848B"/>
    <w:rsid w:val="61981D74"/>
    <w:rsid w:val="61D6BAE2"/>
    <w:rsid w:val="6222339A"/>
    <w:rsid w:val="62AC37EF"/>
    <w:rsid w:val="633AA146"/>
    <w:rsid w:val="64813933"/>
    <w:rsid w:val="64D671A7"/>
    <w:rsid w:val="650E5BA4"/>
    <w:rsid w:val="67AF5CA0"/>
    <w:rsid w:val="69524E2A"/>
    <w:rsid w:val="69CA7D61"/>
    <w:rsid w:val="6B897116"/>
    <w:rsid w:val="6CB288AC"/>
    <w:rsid w:val="6CB29864"/>
    <w:rsid w:val="6CDEAB8A"/>
    <w:rsid w:val="6DAB702B"/>
    <w:rsid w:val="6E9858D8"/>
    <w:rsid w:val="6EA8BB6A"/>
    <w:rsid w:val="6EFA4BB6"/>
    <w:rsid w:val="6F16824D"/>
    <w:rsid w:val="6F9619D1"/>
    <w:rsid w:val="6FC31F0D"/>
    <w:rsid w:val="71104140"/>
    <w:rsid w:val="712F5AB8"/>
    <w:rsid w:val="72306BA5"/>
    <w:rsid w:val="724B2FE2"/>
    <w:rsid w:val="737C39FF"/>
    <w:rsid w:val="749958C6"/>
    <w:rsid w:val="74F482F7"/>
    <w:rsid w:val="74F94A5C"/>
    <w:rsid w:val="759EF8DD"/>
    <w:rsid w:val="75AED98F"/>
    <w:rsid w:val="75C72BB8"/>
    <w:rsid w:val="75FCB035"/>
    <w:rsid w:val="77392A14"/>
    <w:rsid w:val="77467F07"/>
    <w:rsid w:val="77E0AB9D"/>
    <w:rsid w:val="78887901"/>
    <w:rsid w:val="788D7F63"/>
    <w:rsid w:val="78F9E42E"/>
    <w:rsid w:val="79053FDB"/>
    <w:rsid w:val="79546C12"/>
    <w:rsid w:val="79E2187F"/>
    <w:rsid w:val="7A70CAD6"/>
    <w:rsid w:val="7B63C47B"/>
    <w:rsid w:val="7C19F02A"/>
    <w:rsid w:val="7C95486E"/>
    <w:rsid w:val="7D0285A2"/>
    <w:rsid w:val="7D377ED9"/>
    <w:rsid w:val="7DAD1B67"/>
    <w:rsid w:val="7E665C61"/>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4"/>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7"/>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5"/>
    <w:next w:val="6"/>
    <w:link w:val="89"/>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7">
    <w:name w:val="heading 4"/>
    <w:basedOn w:val="1"/>
    <w:next w:val="1"/>
    <w:link w:val="39"/>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8">
    <w:name w:val="heading 6"/>
    <w:basedOn w:val="1"/>
    <w:next w:val="1"/>
    <w:link w:val="90"/>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5">
    <w:name w:val="Título1"/>
    <w:basedOn w:val="1"/>
    <w:next w:val="6"/>
    <w:qFormat/>
    <w:uiPriority w:val="0"/>
    <w:pPr>
      <w:keepNext/>
      <w:spacing w:before="240" w:after="120"/>
    </w:pPr>
    <w:rPr>
      <w:rFonts w:ascii="Liberation Sans" w:hAnsi="Liberation Sans" w:eastAsia="Microsoft YaHei" w:cs="Arial"/>
      <w:sz w:val="28"/>
      <w:szCs w:val="28"/>
    </w:rPr>
  </w:style>
  <w:style w:type="paragraph" w:styleId="6">
    <w:name w:val="Body Text"/>
    <w:basedOn w:val="1"/>
    <w:link w:val="53"/>
    <w:unhideWhenUsed/>
    <w:qFormat/>
    <w:uiPriority w:val="99"/>
    <w:pPr>
      <w:spacing w:before="100" w:beforeAutospacing="1" w:after="100" w:afterAutospacing="1"/>
    </w:pPr>
    <w:rPr>
      <w:rFonts w:ascii="Times New Roman" w:hAnsi="Times New Roman" w:eastAsia="Times New Roman" w:cs="Times New Roman"/>
    </w:rPr>
  </w:style>
  <w:style w:type="character" w:styleId="11">
    <w:name w:val="Strong"/>
    <w:basedOn w:val="9"/>
    <w:qFormat/>
    <w:uiPriority w:val="22"/>
    <w:rPr>
      <w:b/>
      <w:bCs/>
    </w:rPr>
  </w:style>
  <w:style w:type="character" w:styleId="12">
    <w:name w:val="annotation reference"/>
    <w:basedOn w:val="9"/>
    <w:unhideWhenUsed/>
    <w:qFormat/>
    <w:uiPriority w:val="0"/>
    <w:rPr>
      <w:sz w:val="16"/>
      <w:szCs w:val="16"/>
    </w:rPr>
  </w:style>
  <w:style w:type="character" w:styleId="13">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4">
    <w:name w:val="Emphasis"/>
    <w:basedOn w:val="9"/>
    <w:qFormat/>
    <w:uiPriority w:val="20"/>
    <w:rPr>
      <w:i/>
      <w:iCs/>
    </w:rPr>
  </w:style>
  <w:style w:type="character" w:styleId="15">
    <w:name w:val="Hyperlink"/>
    <w:basedOn w:val="9"/>
    <w:qFormat/>
    <w:uiPriority w:val="0"/>
    <w:rPr>
      <w:color w:val="000080"/>
      <w:u w:val="single"/>
    </w:rPr>
  </w:style>
  <w:style w:type="paragraph" w:styleId="16">
    <w:name w:val="annotation text"/>
    <w:basedOn w:val="1"/>
    <w:link w:val="37"/>
    <w:unhideWhenUsed/>
    <w:qFormat/>
    <w:uiPriority w:val="99"/>
    <w:rPr>
      <w:sz w:val="20"/>
      <w:szCs w:val="20"/>
    </w:rPr>
  </w:style>
  <w:style w:type="paragraph" w:styleId="17">
    <w:name w:val="Title"/>
    <w:basedOn w:val="1"/>
    <w:next w:val="1"/>
    <w:link w:val="42"/>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8">
    <w:name w:val="List Bullet 5"/>
    <w:basedOn w:val="1"/>
    <w:qFormat/>
    <w:uiPriority w:val="0"/>
    <w:pPr>
      <w:numPr>
        <w:ilvl w:val="0"/>
        <w:numId w:val="1"/>
      </w:numPr>
      <w:contextualSpacing/>
    </w:pPr>
  </w:style>
  <w:style w:type="paragraph" w:styleId="19">
    <w:name w:val="Normal (Web)"/>
    <w:basedOn w:val="1"/>
    <w:qFormat/>
    <w:uiPriority w:val="99"/>
    <w:pPr>
      <w:spacing w:before="100" w:beforeAutospacing="1" w:after="100" w:afterAutospacing="1"/>
    </w:pPr>
    <w:rPr>
      <w:rFonts w:ascii="Times New Roman" w:hAnsi="Times New Roman" w:cs="Times New Roman"/>
    </w:rPr>
  </w:style>
  <w:style w:type="paragraph" w:styleId="20">
    <w:name w:val="header"/>
    <w:basedOn w:val="1"/>
    <w:link w:val="35"/>
    <w:qFormat/>
    <w:uiPriority w:val="99"/>
    <w:pPr>
      <w:tabs>
        <w:tab w:val="center" w:pos="4252"/>
        <w:tab w:val="right" w:pos="8504"/>
      </w:tabs>
    </w:pPr>
  </w:style>
  <w:style w:type="paragraph" w:styleId="21">
    <w:name w:val="annotation subject"/>
    <w:basedOn w:val="16"/>
    <w:next w:val="16"/>
    <w:link w:val="38"/>
    <w:semiHidden/>
    <w:unhideWhenUsed/>
    <w:qFormat/>
    <w:uiPriority w:val="99"/>
    <w:rPr>
      <w:b/>
      <w:bCs/>
    </w:rPr>
  </w:style>
  <w:style w:type="paragraph" w:styleId="22">
    <w:name w:val="footer"/>
    <w:basedOn w:val="1"/>
    <w:link w:val="36"/>
    <w:qFormat/>
    <w:uiPriority w:val="99"/>
    <w:pPr>
      <w:tabs>
        <w:tab w:val="center" w:pos="4252"/>
        <w:tab w:val="right" w:pos="8504"/>
      </w:tabs>
    </w:pPr>
  </w:style>
  <w:style w:type="paragraph" w:styleId="23">
    <w:name w:val="Balloon Text"/>
    <w:basedOn w:val="1"/>
    <w:link w:val="26"/>
    <w:qFormat/>
    <w:uiPriority w:val="99"/>
    <w:rPr>
      <w:rFonts w:ascii="Tahoma" w:hAnsi="Tahoma"/>
      <w:sz w:val="16"/>
      <w:szCs w:val="16"/>
    </w:rPr>
  </w:style>
  <w:style w:type="table" w:styleId="24">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List Paragraph"/>
    <w:basedOn w:val="1"/>
    <w:link w:val="88"/>
    <w:qFormat/>
    <w:uiPriority w:val="34"/>
    <w:pPr>
      <w:ind w:left="720"/>
      <w:contextualSpacing/>
    </w:pPr>
  </w:style>
  <w:style w:type="character" w:customStyle="1" w:styleId="26">
    <w:name w:val="Texto de balão Char"/>
    <w:link w:val="23"/>
    <w:qFormat/>
    <w:uiPriority w:val="99"/>
    <w:rPr>
      <w:rFonts w:ascii="Tahoma" w:hAnsi="Tahoma" w:cs="Tahoma"/>
      <w:sz w:val="16"/>
      <w:szCs w:val="16"/>
    </w:rPr>
  </w:style>
  <w:style w:type="character" w:customStyle="1" w:styleId="27">
    <w:name w:val="Título 2 Char"/>
    <w:link w:val="3"/>
    <w:qFormat/>
    <w:uiPriority w:val="0"/>
    <w:rPr>
      <w:b/>
      <w:color w:val="000000"/>
      <w:sz w:val="24"/>
    </w:rPr>
  </w:style>
  <w:style w:type="paragraph" w:customStyle="1" w:styleId="28">
    <w:name w:val="Nível 2"/>
    <w:basedOn w:val="1"/>
    <w:next w:val="1"/>
    <w:qFormat/>
    <w:uiPriority w:val="0"/>
    <w:pPr>
      <w:spacing w:after="120"/>
      <w:jc w:val="both"/>
    </w:pPr>
    <w:rPr>
      <w:rFonts w:ascii="Arial" w:hAnsi="Arial" w:cs="Times New Roman"/>
      <w:b/>
      <w:szCs w:val="20"/>
    </w:rPr>
  </w:style>
  <w:style w:type="character" w:customStyle="1" w:styleId="29">
    <w:name w:val="normal__char1"/>
    <w:qFormat/>
    <w:uiPriority w:val="0"/>
    <w:rPr>
      <w:rFonts w:hint="default" w:ascii="Arial" w:hAnsi="Arial" w:cs="Arial"/>
      <w:sz w:val="24"/>
      <w:szCs w:val="24"/>
      <w:u w:val="none"/>
    </w:rPr>
  </w:style>
  <w:style w:type="character" w:customStyle="1" w:styleId="30">
    <w:name w:val="apple-style-span"/>
    <w:basedOn w:val="9"/>
    <w:qFormat/>
    <w:uiPriority w:val="0"/>
  </w:style>
  <w:style w:type="paragraph" w:styleId="31">
    <w:name w:val="Quote"/>
    <w:basedOn w:val="1"/>
    <w:next w:val="1"/>
    <w:link w:val="32"/>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2">
    <w:name w:val="Citação Char"/>
    <w:link w:val="31"/>
    <w:qFormat/>
    <w:uiPriority w:val="0"/>
    <w:rPr>
      <w:rFonts w:ascii="Arial" w:hAnsi="Arial" w:eastAsia="Calibri" w:cs="Tahoma"/>
      <w:i/>
      <w:iCs/>
      <w:color w:val="000000"/>
      <w:szCs w:val="24"/>
      <w:shd w:val="clear" w:color="auto" w:fill="FFFFCC"/>
    </w:rPr>
  </w:style>
  <w:style w:type="paragraph" w:customStyle="1" w:styleId="33">
    <w:name w:val="Nota explicativa"/>
    <w:basedOn w:val="31"/>
    <w:link w:val="34"/>
    <w:qFormat/>
    <w:uiPriority w:val="0"/>
    <w:rPr>
      <w:szCs w:val="20"/>
    </w:rPr>
  </w:style>
  <w:style w:type="character" w:customStyle="1" w:styleId="34">
    <w:name w:val="Nota explicativa Char"/>
    <w:basedOn w:val="32"/>
    <w:link w:val="33"/>
    <w:qFormat/>
    <w:uiPriority w:val="0"/>
    <w:rPr>
      <w:rFonts w:ascii="Arial" w:hAnsi="Arial" w:eastAsia="Calibri" w:cs="Tahoma"/>
      <w:color w:val="000000"/>
      <w:szCs w:val="24"/>
      <w:shd w:val="clear" w:color="auto" w:fill="FFFFCC"/>
    </w:rPr>
  </w:style>
  <w:style w:type="character" w:customStyle="1" w:styleId="35">
    <w:name w:val="Cabeçalho Char"/>
    <w:link w:val="20"/>
    <w:qFormat/>
    <w:uiPriority w:val="99"/>
    <w:rPr>
      <w:rFonts w:ascii="Ecofont_Spranq_eco_Sans" w:hAnsi="Ecofont_Spranq_eco_Sans" w:cs="Tahoma"/>
      <w:sz w:val="24"/>
      <w:szCs w:val="24"/>
    </w:rPr>
  </w:style>
  <w:style w:type="character" w:customStyle="1" w:styleId="36">
    <w:name w:val="Rodapé Char"/>
    <w:link w:val="22"/>
    <w:qFormat/>
    <w:uiPriority w:val="99"/>
    <w:rPr>
      <w:rFonts w:ascii="Ecofont_Spranq_eco_Sans" w:hAnsi="Ecofont_Spranq_eco_Sans" w:cs="Tahoma"/>
      <w:sz w:val="24"/>
      <w:szCs w:val="24"/>
    </w:rPr>
  </w:style>
  <w:style w:type="character" w:customStyle="1" w:styleId="37">
    <w:name w:val="Texto de comentário Char"/>
    <w:basedOn w:val="9"/>
    <w:link w:val="16"/>
    <w:qFormat/>
    <w:uiPriority w:val="99"/>
    <w:rPr>
      <w:rFonts w:ascii="Ecofont_Spranq_eco_Sans" w:hAnsi="Ecofont_Spranq_eco_Sans" w:cs="Tahoma"/>
      <w:lang w:eastAsia="pt-BR"/>
    </w:rPr>
  </w:style>
  <w:style w:type="character" w:customStyle="1" w:styleId="38">
    <w:name w:val="Assunto do comentário Char"/>
    <w:basedOn w:val="37"/>
    <w:link w:val="21"/>
    <w:semiHidden/>
    <w:qFormat/>
    <w:uiPriority w:val="99"/>
    <w:rPr>
      <w:rFonts w:ascii="Ecofont_Spranq_eco_Sans" w:hAnsi="Ecofont_Spranq_eco_Sans" w:cs="Tahoma"/>
      <w:b/>
      <w:bCs/>
      <w:lang w:eastAsia="pt-BR"/>
    </w:rPr>
  </w:style>
  <w:style w:type="character" w:customStyle="1" w:styleId="39">
    <w:name w:val="Título 4 Char"/>
    <w:basedOn w:val="9"/>
    <w:link w:val="7"/>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40">
    <w:name w:val="Nivel 01"/>
    <w:basedOn w:val="2"/>
    <w:next w:val="1"/>
    <w:link w:val="43"/>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1">
    <w:name w:val="Nivel_01_Titulo"/>
    <w:basedOn w:val="40"/>
    <w:link w:val="45"/>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2">
    <w:name w:val="Título Char"/>
    <w:basedOn w:val="9"/>
    <w:link w:val="17"/>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3">
    <w:name w:val="Nivel 01 Char"/>
    <w:basedOn w:val="42"/>
    <w:link w:val="40"/>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4">
    <w:name w:val="Título 1 Char"/>
    <w:basedOn w:val="9"/>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5">
    <w:name w:val="Nivel_01_Titulo Char"/>
    <w:basedOn w:val="43"/>
    <w:link w:val="41"/>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6">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7">
    <w:name w:val="Quote Char"/>
    <w:basedOn w:val="9"/>
    <w:link w:val="48"/>
    <w:qFormat/>
    <w:uiPriority w:val="0"/>
    <w:rPr>
      <w:rFonts w:ascii="Ecofont_Spranq_eco_Sans" w:hAnsi="Ecofont_Spranq_eco_Sans" w:eastAsia="Calibri" w:cs="Tahoma"/>
      <w:i/>
      <w:iCs/>
      <w:color w:val="000000"/>
      <w:shd w:val="clear" w:color="auto" w:fill="FFFFCC"/>
    </w:rPr>
  </w:style>
  <w:style w:type="paragraph" w:customStyle="1" w:styleId="48">
    <w:name w:val="Citação1"/>
    <w:basedOn w:val="1"/>
    <w:next w:val="1"/>
    <w:link w:val="47"/>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9">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50">
    <w:name w:val="normaltextrun"/>
    <w:basedOn w:val="9"/>
    <w:qFormat/>
    <w:uiPriority w:val="0"/>
  </w:style>
  <w:style w:type="character" w:customStyle="1" w:styleId="51">
    <w:name w:val="eop"/>
    <w:basedOn w:val="9"/>
    <w:qFormat/>
    <w:uiPriority w:val="0"/>
  </w:style>
  <w:style w:type="character" w:customStyle="1" w:styleId="52">
    <w:name w:val="spellingerror"/>
    <w:basedOn w:val="9"/>
    <w:qFormat/>
    <w:uiPriority w:val="0"/>
  </w:style>
  <w:style w:type="character" w:customStyle="1" w:styleId="53">
    <w:name w:val="Corpo de texto Char"/>
    <w:basedOn w:val="9"/>
    <w:link w:val="6"/>
    <w:qFormat/>
    <w:uiPriority w:val="99"/>
    <w:rPr>
      <w:rFonts w:eastAsia="Times New Roman"/>
      <w:sz w:val="24"/>
      <w:szCs w:val="24"/>
      <w:lang w:eastAsia="pt-BR"/>
    </w:rPr>
  </w:style>
  <w:style w:type="paragraph" w:customStyle="1" w:styleId="54">
    <w:name w:val="Nivel1"/>
    <w:basedOn w:val="2"/>
    <w:link w:val="55"/>
    <w:qFormat/>
    <w:uiPriority w:val="0"/>
    <w:pPr>
      <w:spacing w:line="276" w:lineRule="auto"/>
      <w:ind w:left="357" w:hanging="357"/>
      <w:jc w:val="both"/>
    </w:pPr>
    <w:rPr>
      <w:rFonts w:ascii="Arial" w:hAnsi="Arial" w:cs="Arial"/>
      <w:bCs w:val="0"/>
      <w:color w:val="000000"/>
    </w:rPr>
  </w:style>
  <w:style w:type="character" w:customStyle="1" w:styleId="55">
    <w:name w:val="Nivel1 Char"/>
    <w:basedOn w:val="44"/>
    <w:link w:val="54"/>
    <w:qFormat/>
    <w:uiPriority w:val="0"/>
    <w:rPr>
      <w:rFonts w:ascii="Arial" w:hAnsi="Arial" w:cs="Arial" w:eastAsiaTheme="majorEastAsia"/>
      <w:bCs w:val="0"/>
      <w:color w:val="000000"/>
      <w:sz w:val="28"/>
      <w:szCs w:val="28"/>
      <w:lang w:eastAsia="pt-BR"/>
    </w:rPr>
  </w:style>
  <w:style w:type="paragraph" w:customStyle="1" w:styleId="56">
    <w:name w:val="Parágrafo da Lista1"/>
    <w:basedOn w:val="1"/>
    <w:qFormat/>
    <w:uiPriority w:val="0"/>
    <w:pPr>
      <w:ind w:left="720"/>
    </w:pPr>
    <w:rPr>
      <w:rFonts w:eastAsia="Times New Roman" w:cs="Ecofont_Spranq_eco_Sans"/>
    </w:rPr>
  </w:style>
  <w:style w:type="paragraph" w:customStyle="1" w:styleId="57">
    <w:name w:val="Nivel 2"/>
    <w:basedOn w:val="1"/>
    <w:link w:val="82"/>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8">
    <w:name w:val="Nivel 1"/>
    <w:basedOn w:val="57"/>
    <w:next w:val="57"/>
    <w:qFormat/>
    <w:uiPriority w:val="0"/>
    <w:pPr>
      <w:numPr>
        <w:ilvl w:val="0"/>
        <w:numId w:val="0"/>
      </w:numPr>
      <w:ind w:left="360" w:hanging="360"/>
    </w:pPr>
    <w:rPr>
      <w:b/>
    </w:rPr>
  </w:style>
  <w:style w:type="paragraph" w:customStyle="1" w:styleId="59">
    <w:name w:val="Nivel 3"/>
    <w:basedOn w:val="1"/>
    <w:link w:val="108"/>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60">
    <w:name w:val="Nivel 4"/>
    <w:basedOn w:val="59"/>
    <w:link w:val="62"/>
    <w:qFormat/>
    <w:uiPriority w:val="0"/>
    <w:pPr>
      <w:numPr>
        <w:ilvl w:val="3"/>
      </w:numPr>
      <w:ind w:left="851" w:firstLine="0"/>
    </w:pPr>
    <w:rPr>
      <w:color w:val="auto"/>
    </w:rPr>
  </w:style>
  <w:style w:type="paragraph" w:customStyle="1" w:styleId="61">
    <w:name w:val="Nivel 5"/>
    <w:basedOn w:val="60"/>
    <w:qFormat/>
    <w:uiPriority w:val="0"/>
    <w:pPr>
      <w:numPr>
        <w:ilvl w:val="4"/>
      </w:numPr>
      <w:ind w:left="1276" w:firstLine="0"/>
    </w:pPr>
  </w:style>
  <w:style w:type="character" w:customStyle="1" w:styleId="62">
    <w:name w:val="Nivel 4 Char"/>
    <w:basedOn w:val="9"/>
    <w:link w:val="60"/>
    <w:qFormat/>
    <w:uiPriority w:val="0"/>
    <w:rPr>
      <w:rFonts w:ascii="Arial" w:hAnsi="Arial" w:cs="Arial"/>
      <w:lang w:eastAsia="pt-BR"/>
    </w:rPr>
  </w:style>
  <w:style w:type="paragraph" w:customStyle="1" w:styleId="63">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4">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5">
    <w:name w:val="cp_0020corpodespacho__char1"/>
    <w:qFormat/>
    <w:uiPriority w:val="0"/>
    <w:rPr>
      <w:rFonts w:hint="default" w:ascii="Times New Roman" w:hAnsi="Times New Roman" w:cs="Times New Roman"/>
      <w:sz w:val="26"/>
      <w:szCs w:val="26"/>
      <w:u w:val="none"/>
    </w:rPr>
  </w:style>
  <w:style w:type="character" w:customStyle="1" w:styleId="66">
    <w:name w:val="em_0020ementa__char1"/>
    <w:qFormat/>
    <w:uiPriority w:val="0"/>
    <w:rPr>
      <w:rFonts w:hint="default" w:ascii="Times New Roman" w:hAnsi="Times New Roman" w:cs="Times New Roman"/>
      <w:sz w:val="28"/>
      <w:szCs w:val="28"/>
      <w:u w:val="none"/>
    </w:rPr>
  </w:style>
  <w:style w:type="paragraph" w:customStyle="1" w:styleId="67">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8">
    <w:name w:val="Manoel"/>
    <w:qFormat/>
    <w:uiPriority w:val="0"/>
    <w:rPr>
      <w:rFonts w:ascii="Arial" w:hAnsi="Arial" w:cs="Arial"/>
      <w:color w:val="7030A0"/>
      <w:sz w:val="20"/>
    </w:rPr>
  </w:style>
  <w:style w:type="character" w:customStyle="1" w:styleId="69">
    <w:name w:val="ListLabel 12"/>
    <w:qFormat/>
    <w:uiPriority w:val="0"/>
    <w:rPr>
      <w:b/>
    </w:rPr>
  </w:style>
  <w:style w:type="paragraph" w:customStyle="1" w:styleId="70">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1">
    <w:name w:val="Grade Colorida - Ênfase 11"/>
    <w:basedOn w:val="1"/>
    <w:next w:val="1"/>
    <w:link w:val="72"/>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2">
    <w:name w:val="Grade Colorida - Ênfase 1 Char"/>
    <w:link w:val="71"/>
    <w:qFormat/>
    <w:uiPriority w:val="29"/>
    <w:rPr>
      <w:rFonts w:ascii="Arial" w:hAnsi="Arial" w:eastAsia="Calibri"/>
      <w:i/>
      <w:iCs/>
      <w:color w:val="000000"/>
      <w:szCs w:val="24"/>
      <w:shd w:val="clear" w:color="auto" w:fill="FFFFCC"/>
    </w:rPr>
  </w:style>
  <w:style w:type="paragraph" w:customStyle="1" w:styleId="73">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4">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5">
    <w:name w:val="Normal_1"/>
    <w:qFormat/>
    <w:uiPriority w:val="0"/>
    <w:rPr>
      <w:rFonts w:ascii="Times New Roman" w:hAnsi="Times New Roman" w:eastAsia="Times New Roman" w:cs="Times New Roman"/>
      <w:sz w:val="24"/>
      <w:szCs w:val="22"/>
      <w:lang w:val="pt-BR" w:eastAsia="en-US" w:bidi="ar-SA"/>
    </w:rPr>
  </w:style>
  <w:style w:type="paragraph" w:customStyle="1" w:styleId="76">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7">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8">
    <w:name w:val="highlight"/>
    <w:basedOn w:val="9"/>
    <w:qFormat/>
    <w:uiPriority w:val="0"/>
  </w:style>
  <w:style w:type="paragraph" w:customStyle="1" w:styleId="79">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0">
    <w:name w:val="Menção Pendente1"/>
    <w:basedOn w:val="9"/>
    <w:semiHidden/>
    <w:unhideWhenUsed/>
    <w:qFormat/>
    <w:uiPriority w:val="99"/>
    <w:rPr>
      <w:color w:val="605E5C"/>
      <w:shd w:val="clear" w:color="auto" w:fill="E1DFDD"/>
    </w:rPr>
  </w:style>
  <w:style w:type="character" w:customStyle="1" w:styleId="81">
    <w:name w:val="Menção Pendente2"/>
    <w:basedOn w:val="9"/>
    <w:semiHidden/>
    <w:unhideWhenUsed/>
    <w:qFormat/>
    <w:uiPriority w:val="99"/>
    <w:rPr>
      <w:color w:val="605E5C"/>
      <w:shd w:val="clear" w:color="auto" w:fill="E1DFDD"/>
    </w:rPr>
  </w:style>
  <w:style w:type="character" w:customStyle="1" w:styleId="82">
    <w:name w:val="Nivel 2 Char"/>
    <w:basedOn w:val="9"/>
    <w:link w:val="57"/>
    <w:qFormat/>
    <w:locked/>
    <w:uiPriority w:val="0"/>
    <w:rPr>
      <w:rFonts w:ascii="Arial" w:hAnsi="Arial" w:cs="Arial"/>
      <w:color w:val="000000"/>
      <w:lang w:eastAsia="pt-BR"/>
    </w:rPr>
  </w:style>
  <w:style w:type="paragraph" w:customStyle="1" w:styleId="83">
    <w:name w:val="Nível 2 Opcional"/>
    <w:basedOn w:val="57"/>
    <w:link w:val="85"/>
    <w:qFormat/>
    <w:uiPriority w:val="0"/>
    <w:pPr>
      <w:numPr>
        <w:ilvl w:val="0"/>
        <w:numId w:val="0"/>
      </w:numPr>
      <w:ind w:left="432" w:hanging="432"/>
    </w:pPr>
    <w:rPr>
      <w:rFonts w:eastAsia="Times New Roman"/>
      <w:i/>
      <w:color w:val="FF0000"/>
    </w:rPr>
  </w:style>
  <w:style w:type="paragraph" w:customStyle="1" w:styleId="84">
    <w:name w:val="Nível 3 Opcional"/>
    <w:basedOn w:val="59"/>
    <w:link w:val="86"/>
    <w:qFormat/>
    <w:uiPriority w:val="0"/>
    <w:pPr>
      <w:numPr>
        <w:ilvl w:val="0"/>
        <w:numId w:val="0"/>
      </w:numPr>
      <w:ind w:left="1072" w:hanging="504"/>
    </w:pPr>
    <w:rPr>
      <w:rFonts w:eastAsia="Times New Roman"/>
      <w:i/>
      <w:iCs/>
      <w:color w:val="FF0000"/>
    </w:rPr>
  </w:style>
  <w:style w:type="character" w:customStyle="1" w:styleId="85">
    <w:name w:val="Nível 2 Opcional Char"/>
    <w:basedOn w:val="9"/>
    <w:link w:val="83"/>
    <w:qFormat/>
    <w:uiPriority w:val="0"/>
    <w:rPr>
      <w:rFonts w:ascii="Arial" w:hAnsi="Arial" w:eastAsia="Times New Roman" w:cs="Arial"/>
      <w:i/>
      <w:color w:val="FF0000"/>
      <w:lang w:eastAsia="pt-BR"/>
    </w:rPr>
  </w:style>
  <w:style w:type="character" w:customStyle="1" w:styleId="86">
    <w:name w:val="Nível 3 Opcional Char"/>
    <w:basedOn w:val="9"/>
    <w:link w:val="84"/>
    <w:qFormat/>
    <w:uiPriority w:val="0"/>
    <w:rPr>
      <w:rFonts w:ascii="Arial" w:hAnsi="Arial" w:eastAsia="Times New Roman" w:cs="Arial"/>
      <w:i/>
      <w:iCs/>
      <w:color w:val="FF0000"/>
      <w:lang w:eastAsia="pt-BR"/>
    </w:rPr>
  </w:style>
  <w:style w:type="character" w:styleId="87">
    <w:name w:val="Placeholder Text"/>
    <w:basedOn w:val="9"/>
    <w:semiHidden/>
    <w:qFormat/>
    <w:uiPriority w:val="67"/>
    <w:rPr>
      <w:color w:val="808080"/>
    </w:rPr>
  </w:style>
  <w:style w:type="character" w:customStyle="1" w:styleId="88">
    <w:name w:val="Parágrafo da Lista Char"/>
    <w:basedOn w:val="9"/>
    <w:link w:val="25"/>
    <w:qFormat/>
    <w:uiPriority w:val="34"/>
    <w:rPr>
      <w:rFonts w:ascii="Ecofont_Spranq_eco_Sans" w:hAnsi="Ecofont_Spranq_eco_Sans" w:cs="Tahoma"/>
      <w:sz w:val="24"/>
      <w:szCs w:val="24"/>
      <w:lang w:eastAsia="pt-BR"/>
    </w:rPr>
  </w:style>
  <w:style w:type="character" w:customStyle="1" w:styleId="89">
    <w:name w:val="Título 3 Char"/>
    <w:basedOn w:val="9"/>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90">
    <w:name w:val="Título 6 Char"/>
    <w:basedOn w:val="9"/>
    <w:link w:val="8"/>
    <w:semiHidden/>
    <w:qFormat/>
    <w:uiPriority w:val="9"/>
    <w:rPr>
      <w:rFonts w:asciiTheme="majorHAnsi" w:hAnsiTheme="majorHAnsi" w:eastAsiaTheme="majorEastAsia" w:cstheme="majorBidi"/>
      <w:color w:val="254061" w:themeColor="accent1" w:themeShade="80"/>
      <w:sz w:val="22"/>
      <w:szCs w:val="22"/>
    </w:rPr>
  </w:style>
  <w:style w:type="paragraph" w:customStyle="1" w:styleId="91">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2">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5">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6">
    <w:name w:val="markedcontent"/>
    <w:basedOn w:val="9"/>
    <w:qFormat/>
    <w:uiPriority w:val="0"/>
  </w:style>
  <w:style w:type="paragraph" w:customStyle="1" w:styleId="97">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8">
    <w:name w:val="Text body"/>
    <w:basedOn w:val="97"/>
    <w:qFormat/>
    <w:uiPriority w:val="0"/>
    <w:pPr>
      <w:spacing w:after="140" w:line="276" w:lineRule="auto"/>
    </w:pPr>
  </w:style>
  <w:style w:type="character" w:customStyle="1" w:styleId="99">
    <w:name w:val="Menção Pendente3"/>
    <w:basedOn w:val="9"/>
    <w:semiHidden/>
    <w:unhideWhenUsed/>
    <w:qFormat/>
    <w:uiPriority w:val="99"/>
    <w:rPr>
      <w:color w:val="605E5C"/>
      <w:shd w:val="clear" w:color="auto" w:fill="E1DFDD"/>
    </w:rPr>
  </w:style>
  <w:style w:type="character" w:customStyle="1" w:styleId="100">
    <w:name w:val="Menção Pendente4"/>
    <w:basedOn w:val="9"/>
    <w:semiHidden/>
    <w:unhideWhenUsed/>
    <w:qFormat/>
    <w:uiPriority w:val="99"/>
    <w:rPr>
      <w:color w:val="605E5C"/>
      <w:shd w:val="clear" w:color="auto" w:fill="E1DFDD"/>
    </w:rPr>
  </w:style>
  <w:style w:type="paragraph" w:customStyle="1" w:styleId="101">
    <w:name w:val="ou"/>
    <w:basedOn w:val="25"/>
    <w:link w:val="102"/>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2">
    <w:name w:val="ou Char"/>
    <w:basedOn w:val="88"/>
    <w:link w:val="101"/>
    <w:qFormat/>
    <w:uiPriority w:val="0"/>
    <w:rPr>
      <w:rFonts w:ascii="Arial" w:hAnsi="Arial" w:cs="Arial" w:eastAsiaTheme="minorHAnsi"/>
      <w:b/>
      <w:bCs/>
      <w:i/>
      <w:iCs/>
      <w:color w:val="FF0000"/>
      <w:sz w:val="24"/>
      <w:szCs w:val="24"/>
      <w:u w:val="single"/>
      <w:lang w:eastAsia="pt-BR"/>
    </w:rPr>
  </w:style>
  <w:style w:type="paragraph" w:customStyle="1" w:styleId="103">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4">
    <w:name w:val="Nível 2 -Red"/>
    <w:basedOn w:val="57"/>
    <w:link w:val="106"/>
    <w:qFormat/>
    <w:uiPriority w:val="0"/>
    <w:rPr>
      <w:i/>
      <w:iCs/>
      <w:color w:val="FF0000"/>
    </w:rPr>
  </w:style>
  <w:style w:type="paragraph" w:customStyle="1" w:styleId="105">
    <w:name w:val="Nível 3-R"/>
    <w:basedOn w:val="59"/>
    <w:link w:val="109"/>
    <w:qFormat/>
    <w:uiPriority w:val="0"/>
    <w:rPr>
      <w:i/>
      <w:iCs/>
      <w:color w:val="FF0000"/>
    </w:rPr>
  </w:style>
  <w:style w:type="character" w:customStyle="1" w:styleId="106">
    <w:name w:val="Nível 2 -Red Char"/>
    <w:basedOn w:val="82"/>
    <w:link w:val="104"/>
    <w:qFormat/>
    <w:uiPriority w:val="0"/>
    <w:rPr>
      <w:rFonts w:ascii="Arial" w:hAnsi="Arial" w:cs="Arial"/>
      <w:i/>
      <w:iCs/>
      <w:color w:val="FF0000"/>
      <w:lang w:eastAsia="pt-BR"/>
    </w:rPr>
  </w:style>
  <w:style w:type="paragraph" w:customStyle="1" w:styleId="107">
    <w:name w:val="Nível 4-R"/>
    <w:basedOn w:val="60"/>
    <w:link w:val="111"/>
    <w:qFormat/>
    <w:uiPriority w:val="0"/>
    <w:pPr>
      <w:ind w:left="2491" w:hanging="648"/>
    </w:pPr>
    <w:rPr>
      <w:i/>
      <w:iCs/>
      <w:color w:val="FF0000"/>
    </w:rPr>
  </w:style>
  <w:style w:type="character" w:customStyle="1" w:styleId="108">
    <w:name w:val="Nivel 3 Char"/>
    <w:basedOn w:val="9"/>
    <w:link w:val="59"/>
    <w:qFormat/>
    <w:uiPriority w:val="0"/>
    <w:rPr>
      <w:rFonts w:ascii="Arial" w:hAnsi="Arial" w:cs="Arial"/>
      <w:color w:val="000000"/>
      <w:lang w:eastAsia="pt-BR"/>
    </w:rPr>
  </w:style>
  <w:style w:type="character" w:customStyle="1" w:styleId="109">
    <w:name w:val="Nível 3-R Char"/>
    <w:basedOn w:val="108"/>
    <w:link w:val="105"/>
    <w:qFormat/>
    <w:uiPriority w:val="0"/>
    <w:rPr>
      <w:rFonts w:ascii="Arial" w:hAnsi="Arial" w:cs="Arial"/>
      <w:i/>
      <w:iCs/>
      <w:color w:val="FF0000"/>
      <w:lang w:eastAsia="pt-BR"/>
    </w:rPr>
  </w:style>
  <w:style w:type="paragraph" w:customStyle="1" w:styleId="110">
    <w:name w:val="Nível 1-Sem Num"/>
    <w:basedOn w:val="40"/>
    <w:link w:val="113"/>
    <w:qFormat/>
    <w:uiPriority w:val="0"/>
    <w:pPr>
      <w:numPr>
        <w:numId w:val="0"/>
      </w:numPr>
      <w:ind w:left="357"/>
      <w:outlineLvl w:val="1"/>
    </w:pPr>
    <w:rPr>
      <w:color w:val="FF0000"/>
    </w:rPr>
  </w:style>
  <w:style w:type="character" w:customStyle="1" w:styleId="111">
    <w:name w:val="Nível 4-R Char"/>
    <w:basedOn w:val="62"/>
    <w:link w:val="107"/>
    <w:qFormat/>
    <w:uiPriority w:val="0"/>
    <w:rPr>
      <w:rFonts w:ascii="Arial" w:hAnsi="Arial" w:cs="Arial"/>
      <w:i/>
      <w:iCs/>
      <w:color w:val="FF0000"/>
      <w:lang w:eastAsia="pt-BR"/>
    </w:rPr>
  </w:style>
  <w:style w:type="character" w:customStyle="1" w:styleId="112">
    <w:name w:val="Link da Internet"/>
    <w:basedOn w:val="9"/>
    <w:unhideWhenUsed/>
    <w:qFormat/>
    <w:uiPriority w:val="99"/>
    <w:rPr>
      <w:color w:val="0000FF" w:themeColor="hyperlink"/>
      <w:u w:val="single"/>
      <w14:textFill>
        <w14:solidFill>
          <w14:schemeClr w14:val="hlink"/>
        </w14:solidFill>
      </w14:textFill>
    </w:rPr>
  </w:style>
  <w:style w:type="character" w:customStyle="1" w:styleId="113">
    <w:name w:val="Nível 1-Sem Num Char"/>
    <w:basedOn w:val="43"/>
    <w:link w:val="110"/>
    <w:qFormat/>
    <w:uiPriority w:val="0"/>
    <w:rPr>
      <w:rFonts w:ascii="Arial" w:hAnsi="Arial" w:cs="Arial" w:eastAsiaTheme="majorEastAsia"/>
      <w:color w:val="FF0000"/>
      <w:spacing w:val="5"/>
      <w:kern w:val="28"/>
      <w:sz w:val="52"/>
      <w:szCs w:val="52"/>
      <w:lang w:eastAsia="pt-BR"/>
    </w:rPr>
  </w:style>
  <w:style w:type="paragraph" w:customStyle="1" w:styleId="114">
    <w:name w:val="citação 2"/>
    <w:basedOn w:val="31"/>
    <w:qFormat/>
    <w:uiPriority w:val="0"/>
    <w:pPr>
      <w:overflowPunct w:val="0"/>
    </w:pPr>
    <w:rPr>
      <w:szCs w:val="20"/>
    </w:rPr>
  </w:style>
  <w:style w:type="paragraph" w:customStyle="1" w:styleId="115">
    <w:name w:val="Preâmbulo"/>
    <w:basedOn w:val="1"/>
    <w:link w:val="116"/>
    <w:qFormat/>
    <w:uiPriority w:val="0"/>
    <w:pPr>
      <w:spacing w:before="480" w:after="120" w:line="360" w:lineRule="auto"/>
      <w:ind w:left="4253" w:right="-17"/>
      <w:jc w:val="both"/>
    </w:pPr>
    <w:rPr>
      <w:rFonts w:ascii="Arial" w:hAnsi="Arial" w:eastAsia="Arial" w:cs="Arial"/>
      <w:bCs/>
      <w:sz w:val="20"/>
      <w:szCs w:val="20"/>
    </w:rPr>
  </w:style>
  <w:style w:type="character" w:customStyle="1" w:styleId="116">
    <w:name w:val="Preâmbulo Char"/>
    <w:basedOn w:val="9"/>
    <w:link w:val="115"/>
    <w:qFormat/>
    <w:uiPriority w:val="0"/>
    <w:rPr>
      <w:rFonts w:ascii="Arial" w:hAnsi="Arial" w:eastAsia="Arial" w:cs="Arial"/>
      <w:bCs/>
      <w:lang w:eastAsia="pt-BR"/>
    </w:rPr>
  </w:style>
  <w:style w:type="character" w:customStyle="1" w:styleId="117">
    <w:name w:val="Unresolved Mention"/>
    <w:basedOn w:val="9"/>
    <w:semiHidden/>
    <w:unhideWhenUsed/>
    <w:qFormat/>
    <w:uiPriority w:val="99"/>
    <w:rPr>
      <w:color w:val="605E5C"/>
      <w:shd w:val="clear" w:color="auto" w:fill="E1DFDD"/>
    </w:rPr>
  </w:style>
  <w:style w:type="paragraph" w:customStyle="1" w:styleId="118">
    <w:name w:val="Table Paragraph"/>
    <w:basedOn w:val="1"/>
    <w:qFormat/>
    <w:uiPriority w:val="1"/>
  </w:style>
  <w:style w:type="paragraph" w:customStyle="1" w:styleId="119">
    <w:name w:val="Conteúdo da tabela"/>
    <w:basedOn w:val="1"/>
    <w:qFormat/>
    <w:uiPriority w:val="0"/>
    <w:pPr>
      <w:widowControl w:val="0"/>
      <w:suppressLineNumbers/>
    </w:pPr>
  </w:style>
  <w:style w:type="paragraph" w:customStyle="1" w:styleId="120">
    <w:name w:val="Default"/>
    <w:unhideWhenUsed/>
    <w:qFormat/>
    <w:uiPriority w:val="99"/>
    <w:pPr>
      <w:widowControl w:val="0"/>
      <w:autoSpaceDE w:val="0"/>
      <w:autoSpaceDN w:val="0"/>
      <w:adjustRightInd w:val="0"/>
      <w:spacing w:beforeLines="0" w:afterLines="0"/>
    </w:pPr>
    <w:rPr>
      <w:rFonts w:hint="default" w:ascii="Arial" w:hAnsi="Arial" w:eastAsia="SimSu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41C99-BA1C-408F-8BE9-FD886FF1D685}">
  <ds:schemaRefs/>
</ds:datastoreItem>
</file>

<file path=customXml/itemProps2.xml><?xml version="1.0" encoding="utf-8"?>
<ds:datastoreItem xmlns:ds="http://schemas.openxmlformats.org/officeDocument/2006/customXml" ds:itemID="{0CBD3A4D-46FC-4C9D-A646-0B0B22B0418A}">
  <ds:schemaRefs/>
</ds:datastoreItem>
</file>

<file path=customXml/itemProps3.xml><?xml version="1.0" encoding="utf-8"?>
<ds:datastoreItem xmlns:ds="http://schemas.openxmlformats.org/officeDocument/2006/customXml" ds:itemID="{DA862052-D844-467A-AC8D-623B16AA7605}">
  <ds:schemaRefs/>
</ds:datastoreItem>
</file>

<file path=customXml/itemProps4.xml><?xml version="1.0" encoding="utf-8"?>
<ds:datastoreItem xmlns:ds="http://schemas.openxmlformats.org/officeDocument/2006/customXml" ds:itemID="{A1465CDB-1419-435A-AC24-1D47985E0D45}">
  <ds:schemaRefs/>
</ds:datastoreItem>
</file>

<file path=customXml/itemProps5.xml><?xml version="1.0" encoding="utf-8"?>
<ds:datastoreItem xmlns:ds="http://schemas.openxmlformats.org/officeDocument/2006/customXml" ds:itemID="{2B11408A-6D5C-4CA6-95AE-BDB1C00B1E4C}">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18</Pages>
  <Words>4775</Words>
  <Characters>25786</Characters>
  <Lines>214</Lines>
  <Paragraphs>60</Paragraphs>
  <TotalTime>0</TotalTime>
  <ScaleCrop>false</ScaleCrop>
  <LinksUpToDate>false</LinksUpToDate>
  <CharactersWithSpaces>30501</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2023-04-21T10:13:00Z</dcterms:created>
  <dc:creator>Manoel Paz</dc:creator>
  <cp:lastModifiedBy>Marcelo Andrade</cp:lastModifiedBy>
  <cp:lastPrinted>2024-02-14T16:41:00Z</cp:lastPrinted>
  <dcterms:modified xsi:type="dcterms:W3CDTF">2024-06-24T20:10:11Z</dcterms:modified>
  <dc:title>Edital Pregão Compras - Ampla Participação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1046-11.2.0.11516</vt:lpwstr>
  </property>
  <property fmtid="{D5CDD505-2E9C-101B-9397-08002B2CF9AE}" pid="5" name="ICV">
    <vt:lpwstr>B3383C149FD9479EA4F02D57C747D9AB</vt:lpwstr>
  </property>
</Properties>
</file>