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010/2024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left="11" w:leftChars="0" w:firstLine="709" w:firstLineChars="0"/>
        <w:rPr>
          <w:b/>
          <w:bCs/>
          <w:sz w:val="24"/>
          <w:szCs w:val="24"/>
        </w:rPr>
      </w:pPr>
      <w:r>
        <w:rPr>
          <w:rFonts w:hint="default"/>
          <w:b w:val="0"/>
          <w:bCs w:val="0"/>
          <w:sz w:val="24"/>
          <w:szCs w:val="24"/>
          <w:highlight w:val="none"/>
          <w:lang w:val="pt-BR"/>
        </w:rPr>
        <w:t>Aquisição de insumos fora da tabela CMED, constantes nos processos Licitatórios nº 628/2022 e nº 138/2023,  para atender demandas judiciais vigentes de pacientes do município de Arcos</w:t>
      </w:r>
      <w:r>
        <w:rPr>
          <w:b w:val="0"/>
          <w:bCs w:val="0"/>
          <w:sz w:val="24"/>
          <w:szCs w:val="24"/>
          <w:highlight w:val="none"/>
        </w:rPr>
        <w:t>,</w:t>
      </w:r>
      <w:r>
        <w:rPr>
          <w:sz w:val="24"/>
          <w:szCs w:val="24"/>
        </w:rPr>
        <w:t xml:space="preserve"> nos termos da tabela abaixo, conforme condições e exigências estabelecidas neste instrumento.</w:t>
      </w:r>
    </w:p>
    <w:tbl>
      <w:tblPr>
        <w:tblStyle w:val="8"/>
        <w:tblW w:w="9615"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2745"/>
        <w:gridCol w:w="1095"/>
        <w:gridCol w:w="945"/>
        <w:gridCol w:w="1170"/>
        <w:gridCol w:w="1035"/>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b/>
                <w:bCs/>
                <w:color w:val="000000" w:themeColor="text1"/>
                <w:sz w:val="19"/>
                <w:szCs w:val="19"/>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b/>
                <w:bCs/>
                <w:color w:val="000000"/>
                <w:sz w:val="19"/>
                <w:szCs w:val="19"/>
              </w:rPr>
            </w:pPr>
            <w:r>
              <w:rPr>
                <w:rFonts w:ascii="Arial" w:hAnsi="Arial" w:eastAsia="Arial" w:cs="Arial"/>
                <w:b/>
                <w:bCs/>
                <w:color w:val="000000" w:themeColor="text1"/>
                <w:sz w:val="19"/>
                <w:szCs w:val="19"/>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b/>
                <w:bCs/>
                <w:color w:val="000000"/>
                <w:sz w:val="19"/>
                <w:szCs w:val="19"/>
              </w:rPr>
            </w:pPr>
          </w:p>
        </w:tc>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19"/>
                <w:szCs w:val="19"/>
              </w:rPr>
            </w:pPr>
            <w:r>
              <w:rPr>
                <w:rFonts w:ascii="Arial" w:hAnsi="Arial" w:eastAsia="Arial" w:cs="Arial"/>
                <w:b/>
                <w:bCs/>
                <w:color w:val="000000" w:themeColor="text1"/>
                <w:sz w:val="19"/>
                <w:szCs w:val="19"/>
                <w14:textFill>
                  <w14:solidFill>
                    <w14:schemeClr w14:val="tx1"/>
                  </w14:solidFill>
                </w14:textFill>
              </w:rPr>
              <w:t>ESPECIFICAÇÃO</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19"/>
                <w:szCs w:val="19"/>
              </w:rPr>
            </w:pPr>
            <w:r>
              <w:rPr>
                <w:rFonts w:ascii="Arial" w:hAnsi="Arial" w:eastAsia="Arial" w:cs="Arial"/>
                <w:b/>
                <w:bCs/>
                <w:color w:val="000000" w:themeColor="text1"/>
                <w:sz w:val="19"/>
                <w:szCs w:val="19"/>
                <w14:textFill>
                  <w14:solidFill>
                    <w14:schemeClr w14:val="tx1"/>
                  </w14:solidFill>
                </w14:textFill>
              </w:rPr>
              <w:t>UNIDADE DE MEDIDA</w:t>
            </w:r>
          </w:p>
        </w:tc>
        <w:tc>
          <w:tcPr>
            <w:tcW w:w="9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b/>
                <w:bCs/>
                <w:sz w:val="19"/>
                <w:szCs w:val="19"/>
              </w:rPr>
            </w:pPr>
            <w:r>
              <w:rPr>
                <w:rFonts w:ascii="Arial" w:hAnsi="Arial" w:eastAsia="Arial" w:cs="Arial"/>
                <w:b/>
                <w:bCs/>
                <w:sz w:val="19"/>
                <w:szCs w:val="19"/>
              </w:rPr>
              <w:t>QUANT.</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b/>
                <w:bCs/>
                <w:sz w:val="19"/>
                <w:szCs w:val="19"/>
              </w:rPr>
            </w:pPr>
            <w:r>
              <w:rPr>
                <w:rFonts w:ascii="Arial" w:hAnsi="Arial" w:eastAsia="Arial" w:cs="Arial"/>
                <w:b/>
                <w:bCs/>
                <w:sz w:val="19"/>
                <w:szCs w:val="19"/>
              </w:rPr>
              <w:t>VALOR UNITÁRIO</w:t>
            </w: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b/>
                <w:bCs/>
                <w:sz w:val="19"/>
                <w:szCs w:val="19"/>
              </w:rPr>
            </w:pPr>
            <w:r>
              <w:rPr>
                <w:rFonts w:ascii="Arial" w:hAnsi="Arial" w:eastAsia="Arial" w:cs="Arial"/>
                <w:b/>
                <w:bCs/>
                <w:sz w:val="19"/>
                <w:szCs w:val="19"/>
              </w:rPr>
              <w:t>VALOR TOTAL</w:t>
            </w: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sz w:val="19"/>
                <w:szCs w:val="19"/>
                <w:lang w:val="pt-BR"/>
              </w:rPr>
            </w:pPr>
            <w:r>
              <w:rPr>
                <w:rFonts w:hint="default" w:ascii="Arial" w:hAnsi="Arial" w:eastAsia="Arial" w:cs="Arial"/>
                <w:b/>
                <w:bCs/>
                <w:sz w:val="19"/>
                <w:szCs w:val="19"/>
                <w:lang w:val="pt-BR"/>
              </w:rPr>
              <w:t>Paciente Que Usa: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1</w:t>
            </w:r>
          </w:p>
        </w:tc>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lang w:val="pt-BR"/>
              </w:rPr>
            </w:pPr>
            <w:r>
              <w:rPr>
                <w:rFonts w:hint="default" w:ascii="Arial" w:hAnsi="Arial" w:cs="Arial"/>
                <w:sz w:val="20"/>
                <w:szCs w:val="20"/>
              </w:rPr>
              <w:t>Sensor de monitoramento de glicemia Freestyle libre</w:t>
            </w:r>
            <w:r>
              <w:rPr>
                <w:rFonts w:hint="default" w:ascii="Arial" w:hAnsi="Arial" w:cs="Arial"/>
                <w:sz w:val="20"/>
                <w:szCs w:val="20"/>
                <w:lang w:val="pt-BR"/>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color w:val="auto"/>
                <w:sz w:val="20"/>
                <w:szCs w:val="20"/>
                <w:lang w:val="pt-BR" w:eastAsia="pt-BR" w:bidi="ar-SA"/>
              </w:rPr>
            </w:pP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Calibri" w:cs="Arial"/>
                <w:b w:val="0"/>
                <w:bCs w:val="0"/>
                <w:color w:val="auto"/>
                <w:sz w:val="20"/>
                <w:szCs w:val="20"/>
                <w:lang w:val="pt-BR" w:eastAsia="pt-BR" w:bidi="ar-SA"/>
              </w:rPr>
            </w:pPr>
            <w:r>
              <w:rPr>
                <w:rFonts w:hint="default" w:ascii="Arial" w:hAnsi="Arial" w:cs="Arial"/>
                <w:b w:val="0"/>
                <w:bCs w:val="0"/>
                <w:color w:val="auto"/>
                <w:sz w:val="20"/>
                <w:szCs w:val="20"/>
                <w:lang w:val="en-US" w:eastAsia="pt-BR" w:bidi="ar-SA"/>
              </w:rPr>
              <w:t>Un</w:t>
            </w:r>
          </w:p>
        </w:tc>
        <w:tc>
          <w:tcPr>
            <w:tcW w:w="9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eastAsiaTheme="minorEastAsia"/>
                <w:b w:val="0"/>
                <w:bCs/>
                <w:color w:val="auto"/>
                <w:sz w:val="20"/>
                <w:szCs w:val="20"/>
                <w:lang w:val="pt-BR" w:eastAsia="pt-BR" w:bidi="ar-SA"/>
              </w:rPr>
            </w:pPr>
            <w:r>
              <w:rPr>
                <w:rFonts w:hint="default" w:ascii="Arial" w:hAnsi="Arial" w:cs="Arial"/>
                <w:b w:val="0"/>
                <w:bCs/>
                <w:color w:val="auto"/>
                <w:sz w:val="20"/>
                <w:szCs w:val="20"/>
                <w:lang w:val="pt-BR"/>
              </w:rPr>
              <w:t>96</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20"/>
                <w:szCs w:val="20"/>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20"/>
                <w:szCs w:val="20"/>
              </w:rPr>
            </w:pP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Arial" w:hAnsi="Arial" w:cs="Arial"/>
                <w:sz w:val="18"/>
                <w:szCs w:val="18"/>
                <w:highlight w:val="none"/>
                <w:vertAlign w:val="baseline"/>
                <w:lang w:val="pt-BR" w:eastAsia="zh-CN"/>
              </w:rPr>
            </w:pPr>
            <w:r>
              <w:rPr>
                <w:rFonts w:hint="default" w:ascii="Arial" w:hAnsi="Arial" w:cs="Arial"/>
                <w:sz w:val="18"/>
                <w:szCs w:val="18"/>
                <w:highlight w:val="none"/>
                <w:vertAlign w:val="baseline"/>
                <w:lang w:val="pt-BR" w:eastAsia="zh-CN"/>
              </w:rPr>
              <w:t>*Mikaela Silva Pacheco</w:t>
            </w:r>
          </w:p>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Arial" w:hAnsi="Arial" w:cs="Arial"/>
                <w:sz w:val="18"/>
                <w:szCs w:val="18"/>
                <w:highlight w:val="none"/>
                <w:vertAlign w:val="baseline"/>
                <w:lang w:val="pt-BR" w:eastAsia="zh-CN"/>
              </w:rPr>
            </w:pPr>
          </w:p>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Arial" w:hAnsi="Arial" w:cs="Arial"/>
                <w:sz w:val="18"/>
                <w:szCs w:val="18"/>
                <w:highlight w:val="none"/>
                <w:vertAlign w:val="baseline"/>
                <w:lang w:val="pt-BR" w:eastAsia="zh-CN"/>
              </w:rPr>
            </w:pPr>
            <w:r>
              <w:rPr>
                <w:rFonts w:hint="default" w:ascii="Arial" w:hAnsi="Arial" w:cs="Arial"/>
                <w:sz w:val="18"/>
                <w:szCs w:val="18"/>
                <w:highlight w:val="none"/>
                <w:vertAlign w:val="baseline"/>
                <w:lang w:val="pt-BR" w:eastAsia="zh-CN"/>
              </w:rPr>
              <w:t>*Pedro Ricardo Mendonça Gonçalves</w:t>
            </w:r>
          </w:p>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Arial" w:hAnsi="Arial" w:cs="Arial"/>
                <w:sz w:val="18"/>
                <w:szCs w:val="18"/>
                <w:highlight w:val="none"/>
                <w:vertAlign w:val="baseline"/>
                <w:lang w:val="pt-BR" w:eastAsia="zh-C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ascii="Arial" w:hAnsi="Arial" w:eastAsia="Arial" w:cs="Arial"/>
                <w:color w:val="000000"/>
                <w:sz w:val="20"/>
                <w:szCs w:val="20"/>
              </w:rPr>
            </w:pPr>
            <w:r>
              <w:rPr>
                <w:rFonts w:hint="default" w:ascii="Arial" w:hAnsi="Arial" w:cs="Arial"/>
                <w:sz w:val="18"/>
                <w:szCs w:val="18"/>
                <w:highlight w:val="none"/>
                <w:vertAlign w:val="baseline"/>
                <w:lang w:val="pt-BR" w:eastAsia="zh-CN"/>
              </w:rPr>
              <w:t>*Maria de Fátima Torres Garcia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2</w:t>
            </w:r>
          </w:p>
        </w:tc>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pt-BR" w:bidi="ar-SA"/>
              </w:rPr>
            </w:pPr>
            <w:r>
              <w:rPr>
                <w:rFonts w:hint="default" w:ascii="Arial" w:hAnsi="Arial" w:cs="Arial"/>
                <w:sz w:val="20"/>
                <w:szCs w:val="20"/>
                <w:lang w:val="pt-BR"/>
              </w:rPr>
              <w:t>A</w:t>
            </w:r>
            <w:r>
              <w:rPr>
                <w:rFonts w:hint="default" w:ascii="Arial" w:hAnsi="Arial" w:cs="Arial"/>
                <w:sz w:val="20"/>
                <w:szCs w:val="20"/>
              </w:rPr>
              <w:t>gulha para caneta de insulina comprimento: de 04 ou 5mm. Marca de refer</w:t>
            </w:r>
            <w:r>
              <w:rPr>
                <w:rFonts w:hint="default" w:ascii="Arial" w:hAnsi="Arial" w:cs="Arial"/>
                <w:sz w:val="20"/>
                <w:szCs w:val="20"/>
                <w:lang w:val="pt-BR"/>
              </w:rPr>
              <w:t>ê</w:t>
            </w:r>
            <w:r>
              <w:rPr>
                <w:rFonts w:hint="default" w:ascii="Arial" w:hAnsi="Arial" w:cs="Arial"/>
                <w:sz w:val="20"/>
                <w:szCs w:val="20"/>
              </w:rPr>
              <w:t>ncia</w:t>
            </w:r>
            <w:r>
              <w:rPr>
                <w:rFonts w:hint="default" w:ascii="Arial" w:hAnsi="Arial" w:cs="Arial"/>
                <w:sz w:val="20"/>
                <w:szCs w:val="20"/>
                <w:lang w:val="pt-BR"/>
              </w:rPr>
              <w:t>:</w:t>
            </w:r>
            <w:r>
              <w:rPr>
                <w:rFonts w:hint="default" w:ascii="Arial" w:hAnsi="Arial" w:cs="Arial"/>
                <w:sz w:val="20"/>
                <w:szCs w:val="20"/>
              </w:rPr>
              <w:t xml:space="preserve"> BD ULTRA FINE</w:t>
            </w:r>
            <w:r>
              <w:rPr>
                <w:rFonts w:hint="default" w:ascii="Arial" w:hAnsi="Arial" w:cs="Arial"/>
                <w:sz w:val="20"/>
                <w:szCs w:val="20"/>
                <w:lang w:val="pt-BR"/>
              </w:rPr>
              <w:t>.</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Calibri" w:cs="Arial"/>
                <w:color w:val="auto"/>
                <w:sz w:val="20"/>
                <w:szCs w:val="20"/>
                <w:lang w:val="pt-BR" w:eastAsia="pt-BR" w:bidi="ar-SA"/>
              </w:rPr>
            </w:pPr>
            <w:r>
              <w:rPr>
                <w:rFonts w:hint="default" w:ascii="Arial" w:hAnsi="Arial" w:cs="Arial"/>
                <w:color w:val="auto"/>
                <w:sz w:val="20"/>
                <w:szCs w:val="20"/>
                <w:lang w:val="pt-BR" w:eastAsia="en-US" w:bidi="ar-SA"/>
              </w:rPr>
              <w:t>Un</w:t>
            </w:r>
          </w:p>
        </w:tc>
        <w:tc>
          <w:tcPr>
            <w:tcW w:w="9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eastAsiaTheme="minorEastAsia"/>
                <w:b w:val="0"/>
                <w:bCs/>
                <w:color w:val="auto"/>
                <w:sz w:val="20"/>
                <w:szCs w:val="20"/>
                <w:lang w:val="pt-BR" w:eastAsia="pt-BR" w:bidi="ar-SA"/>
              </w:rPr>
            </w:pPr>
            <w:r>
              <w:rPr>
                <w:rFonts w:hint="default" w:ascii="Arial" w:hAnsi="Arial" w:cs="Arial"/>
                <w:color w:val="auto"/>
                <w:sz w:val="20"/>
                <w:szCs w:val="20"/>
              </w:rPr>
              <w:t>1</w:t>
            </w:r>
            <w:r>
              <w:rPr>
                <w:rFonts w:hint="default" w:ascii="Arial" w:hAnsi="Arial" w:cs="Arial"/>
                <w:color w:val="auto"/>
                <w:sz w:val="20"/>
                <w:szCs w:val="20"/>
                <w:lang w:val="pt-BR"/>
              </w:rPr>
              <w:t>.500</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20"/>
                <w:szCs w:val="20"/>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20"/>
                <w:szCs w:val="20"/>
              </w:rPr>
            </w:pP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ascii="Arial" w:hAnsi="Arial" w:eastAsia="Arial" w:cs="Arial"/>
                <w:color w:val="000000"/>
                <w:sz w:val="20"/>
                <w:szCs w:val="20"/>
              </w:rPr>
            </w:pPr>
            <w:r>
              <w:rPr>
                <w:rFonts w:hint="default" w:ascii="Arial" w:hAnsi="Arial" w:cs="Arial"/>
                <w:sz w:val="18"/>
                <w:szCs w:val="18"/>
                <w:highlight w:val="none"/>
                <w:vertAlign w:val="baseline"/>
                <w:lang w:val="pt-BR" w:eastAsia="zh-CN"/>
              </w:rPr>
              <w:t>*Pedro Ricardo Mendonça Gonçalves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themeColor="text1"/>
                <w:sz w:val="20"/>
                <w:szCs w:val="20"/>
                <w:lang w:val="pt-BR"/>
                <w14:textFill>
                  <w14:solidFill>
                    <w14:schemeClr w14:val="tx1"/>
                  </w14:solidFill>
                </w14:textFill>
              </w:rPr>
            </w:pPr>
            <w:r>
              <w:rPr>
                <w:rFonts w:hint="default" w:ascii="Arial" w:hAnsi="Arial" w:eastAsia="Arial" w:cs="Arial"/>
                <w:b/>
                <w:bCs/>
                <w:color w:val="000000" w:themeColor="text1"/>
                <w:sz w:val="20"/>
                <w:szCs w:val="20"/>
                <w:lang w:val="pt-BR"/>
                <w14:textFill>
                  <w14:solidFill>
                    <w14:schemeClr w14:val="tx1"/>
                  </w14:solidFill>
                </w14:textFill>
              </w:rPr>
              <w:t>3</w:t>
            </w:r>
          </w:p>
        </w:tc>
        <w:tc>
          <w:tcPr>
            <w:tcW w:w="27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cs="Arial" w:eastAsiaTheme="minorEastAsia"/>
                <w:sz w:val="20"/>
                <w:szCs w:val="20"/>
                <w:lang w:val="pt-BR" w:eastAsia="pt-BR" w:bidi="ar-SA"/>
              </w:rPr>
            </w:pPr>
            <w:r>
              <w:rPr>
                <w:rFonts w:hint="default" w:ascii="Arial" w:hAnsi="Arial" w:cs="Arial"/>
                <w:sz w:val="20"/>
                <w:szCs w:val="20"/>
              </w:rPr>
              <w:t>Lanceta para caneta 28G. Marca de refer</w:t>
            </w:r>
            <w:r>
              <w:rPr>
                <w:rFonts w:hint="default" w:ascii="Arial" w:hAnsi="Arial" w:cs="Arial"/>
                <w:sz w:val="20"/>
                <w:szCs w:val="20"/>
                <w:lang w:val="pt-BR"/>
              </w:rPr>
              <w:t>ê</w:t>
            </w:r>
            <w:r>
              <w:rPr>
                <w:rFonts w:hint="default" w:ascii="Arial" w:hAnsi="Arial" w:cs="Arial"/>
                <w:sz w:val="20"/>
                <w:szCs w:val="20"/>
              </w:rPr>
              <w:t>ncia: Twis Lancets</w:t>
            </w:r>
            <w:r>
              <w:rPr>
                <w:rFonts w:hint="default" w:ascii="Arial" w:hAnsi="Arial" w:cs="Arial"/>
                <w:sz w:val="20"/>
                <w:szCs w:val="20"/>
                <w:lang w:val="pt-BR"/>
              </w:rPr>
              <w:t>.</w:t>
            </w:r>
          </w:p>
        </w:tc>
        <w:tc>
          <w:tcPr>
            <w:tcW w:w="10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eastAsia="Calibri" w:cs="Arial"/>
                <w:color w:val="auto"/>
                <w:sz w:val="20"/>
                <w:szCs w:val="20"/>
                <w:lang w:val="pt-BR" w:eastAsia="pt-BR" w:bidi="ar-SA"/>
              </w:rPr>
            </w:pPr>
            <w:r>
              <w:rPr>
                <w:rFonts w:hint="default" w:ascii="Arial" w:hAnsi="Arial" w:cs="Arial"/>
                <w:color w:val="auto"/>
                <w:sz w:val="20"/>
                <w:szCs w:val="20"/>
                <w:lang w:val="pt-BR" w:eastAsia="en-US" w:bidi="ar-SA"/>
              </w:rPr>
              <w:t>Un</w:t>
            </w:r>
          </w:p>
        </w:tc>
        <w:tc>
          <w:tcPr>
            <w:tcW w:w="94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Arial" w:hAnsi="Arial" w:cs="Arial" w:eastAsiaTheme="minorEastAsia"/>
                <w:b w:val="0"/>
                <w:bCs/>
                <w:color w:val="auto"/>
                <w:sz w:val="20"/>
                <w:szCs w:val="20"/>
                <w:lang w:val="pt-BR" w:eastAsia="pt-BR" w:bidi="ar-SA"/>
              </w:rPr>
            </w:pPr>
            <w:r>
              <w:rPr>
                <w:rFonts w:hint="default" w:ascii="Arial" w:hAnsi="Arial" w:cs="Arial"/>
                <w:b w:val="0"/>
                <w:bCs/>
                <w:color w:val="auto"/>
                <w:sz w:val="20"/>
                <w:szCs w:val="20"/>
                <w:lang w:val="pt-BR"/>
              </w:rPr>
              <w:t>6.480</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20"/>
                <w:szCs w:val="20"/>
              </w:rPr>
            </w:pPr>
          </w:p>
        </w:tc>
        <w:tc>
          <w:tcPr>
            <w:tcW w:w="10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ascii="Arial" w:hAnsi="Arial" w:eastAsia="Arial" w:cs="Arial"/>
                <w:color w:val="000000"/>
                <w:sz w:val="20"/>
                <w:szCs w:val="20"/>
              </w:rPr>
            </w:pPr>
          </w:p>
        </w:tc>
        <w:tc>
          <w:tcPr>
            <w:tcW w:w="18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Arial" w:hAnsi="Arial" w:cs="Arial"/>
                <w:sz w:val="18"/>
                <w:szCs w:val="18"/>
                <w:highlight w:val="none"/>
                <w:vertAlign w:val="baseline"/>
                <w:lang w:val="pt-BR" w:eastAsia="zh-CN"/>
              </w:rPr>
            </w:pPr>
            <w:r>
              <w:rPr>
                <w:rFonts w:hint="default" w:ascii="Arial" w:hAnsi="Arial" w:cs="Arial"/>
                <w:sz w:val="18"/>
                <w:szCs w:val="18"/>
                <w:highlight w:val="none"/>
                <w:vertAlign w:val="baseline"/>
                <w:lang w:val="pt-BR" w:eastAsia="zh-CN"/>
              </w:rPr>
              <w:t>*Isabella Xavier Azevedo</w:t>
            </w:r>
          </w:p>
          <w:p>
            <w:pPr>
              <w:keepNext w:val="0"/>
              <w:keepLines w:val="0"/>
              <w:pageBreakBefore w:val="0"/>
              <w:widowControl/>
              <w:kinsoku/>
              <w:wordWrap/>
              <w:overflowPunct/>
              <w:topLinePunct w:val="0"/>
              <w:autoSpaceDE/>
              <w:autoSpaceDN/>
              <w:bidi w:val="0"/>
              <w:adjustRightInd/>
              <w:snapToGrid/>
              <w:spacing w:after="0" w:line="240" w:lineRule="auto"/>
              <w:jc w:val="center"/>
              <w:rPr>
                <w:rFonts w:hint="default" w:ascii="Arial" w:hAnsi="Arial" w:cs="Arial"/>
                <w:sz w:val="18"/>
                <w:szCs w:val="18"/>
                <w:highlight w:val="none"/>
                <w:vertAlign w:val="baseline"/>
                <w:lang w:val="pt-BR" w:eastAsia="zh-C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baseline"/>
              <w:rPr>
                <w:rFonts w:ascii="Arial" w:hAnsi="Arial" w:eastAsia="Arial" w:cs="Arial"/>
                <w:color w:val="000000"/>
                <w:sz w:val="20"/>
                <w:szCs w:val="20"/>
              </w:rPr>
            </w:pPr>
            <w:r>
              <w:rPr>
                <w:rFonts w:hint="default" w:ascii="Arial" w:hAnsi="Arial" w:cs="Arial"/>
                <w:sz w:val="18"/>
                <w:szCs w:val="18"/>
                <w:highlight w:val="none"/>
                <w:vertAlign w:val="baseline"/>
                <w:lang w:val="pt-BR" w:eastAsia="zh-CN"/>
              </w:rPr>
              <w:t>*Pedro Ricardo Mendonça Gonçalves</w:t>
            </w:r>
          </w:p>
        </w:tc>
      </w:tr>
    </w:tbl>
    <w:p>
      <w:pPr>
        <w:pStyle w:val="56"/>
        <w:spacing w:after="288" w:afterLines="120" w:line="312" w:lineRule="auto"/>
        <w:ind w:left="11" w:leftChars="0" w:firstLine="709" w:firstLineChars="0"/>
        <w:rPr>
          <w:sz w:val="24"/>
          <w:szCs w:val="24"/>
          <w:highlight w:val="none"/>
        </w:rPr>
      </w:pPr>
      <w:r>
        <w:rPr>
          <w:sz w:val="24"/>
          <w:szCs w:val="24"/>
          <w:highlight w:val="none"/>
        </w:rPr>
        <w:t xml:space="preserve">O objeto desta </w:t>
      </w:r>
      <w:r>
        <w:rPr>
          <w:rFonts w:hint="default"/>
          <w:sz w:val="24"/>
          <w:szCs w:val="24"/>
          <w:highlight w:val="none"/>
          <w:lang w:val="pt-BR"/>
        </w:rPr>
        <w:t>aquisição</w:t>
      </w:r>
      <w:r>
        <w:rPr>
          <w:sz w:val="24"/>
          <w:szCs w:val="24"/>
          <w:highlight w:val="none"/>
        </w:rPr>
        <w:t xml:space="preserve">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left="11" w:leftChars="0" w:firstLine="709" w:firstLineChars="0"/>
        <w:rPr>
          <w:sz w:val="24"/>
          <w:szCs w:val="24"/>
          <w:highlight w:val="none"/>
        </w:rPr>
      </w:pPr>
      <w:r>
        <w:rPr>
          <w:sz w:val="24"/>
          <w:szCs w:val="24"/>
          <w:highlight w:val="none"/>
        </w:rPr>
        <w:t xml:space="preserve">Os bens objeto desta </w:t>
      </w:r>
      <w:r>
        <w:rPr>
          <w:rFonts w:hint="default"/>
          <w:sz w:val="24"/>
          <w:szCs w:val="24"/>
          <w:highlight w:val="none"/>
          <w:lang w:val="pt-BR"/>
        </w:rPr>
        <w:t>aquisição</w:t>
      </w:r>
      <w:r>
        <w:rPr>
          <w:sz w:val="24"/>
          <w:szCs w:val="24"/>
          <w:highlight w:val="none"/>
        </w:rPr>
        <w:t xml:space="preserve"> são caracterizados como comuns, conforme justificativa constante do Estudo Técnico Preliminar.</w:t>
      </w:r>
    </w:p>
    <w:p>
      <w:pPr>
        <w:pStyle w:val="103"/>
        <w:spacing w:after="288"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O prazo de vigência d</w:t>
      </w:r>
      <w:r>
        <w:rPr>
          <w:rFonts w:hint="default"/>
          <w:i w:val="0"/>
          <w:iCs w:val="0"/>
          <w:color w:val="auto"/>
          <w:sz w:val="24"/>
          <w:szCs w:val="24"/>
          <w:highlight w:val="none"/>
          <w:lang w:val="pt-BR"/>
        </w:rPr>
        <w:t>esta</w:t>
      </w:r>
      <w:r>
        <w:rPr>
          <w:i w:val="0"/>
          <w:iCs w:val="0"/>
          <w:color w:val="auto"/>
          <w:sz w:val="24"/>
          <w:szCs w:val="24"/>
          <w:highlight w:val="none"/>
        </w:rPr>
        <w:t xml:space="preserve"> </w:t>
      </w:r>
      <w:r>
        <w:rPr>
          <w:rFonts w:hint="default"/>
          <w:i w:val="0"/>
          <w:iCs w:val="0"/>
          <w:color w:val="auto"/>
          <w:sz w:val="24"/>
          <w:szCs w:val="24"/>
          <w:highlight w:val="none"/>
          <w:lang w:val="pt-BR"/>
        </w:rPr>
        <w:t>aquisição</w:t>
      </w:r>
      <w:r>
        <w:rPr>
          <w:i w:val="0"/>
          <w:iCs w:val="0"/>
          <w:color w:val="auto"/>
          <w:sz w:val="24"/>
          <w:szCs w:val="24"/>
          <w:highlight w:val="none"/>
        </w:rPr>
        <w:t xml:space="preserve">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left="11" w:leftChars="0" w:firstLine="709" w:firstLineChars="0"/>
        <w:rPr>
          <w:sz w:val="24"/>
          <w:szCs w:val="24"/>
        </w:rPr>
      </w:pPr>
      <w:r>
        <w:rPr>
          <w:sz w:val="24"/>
          <w:szCs w:val="24"/>
        </w:rPr>
        <w:t xml:space="preserve">O contrato oferece maior detalhamento das regras que serão aplicadas em relação à vigência da </w:t>
      </w:r>
      <w:r>
        <w:rPr>
          <w:rFonts w:hint="default"/>
          <w:sz w:val="24"/>
          <w:szCs w:val="24"/>
          <w:lang w:val="pt-BR"/>
        </w:rPr>
        <w:t>aquisição</w:t>
      </w:r>
      <w:r>
        <w:rPr>
          <w:sz w:val="24"/>
          <w:szCs w:val="24"/>
        </w:rPr>
        <w:t>.</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left="11" w:leftChars="0" w:firstLine="709" w:firstLineChars="0"/>
        <w:rPr>
          <w:sz w:val="24"/>
          <w:szCs w:val="24"/>
          <w:highlight w:val="none"/>
        </w:rPr>
      </w:pPr>
      <w:r>
        <w:rPr>
          <w:sz w:val="24"/>
          <w:szCs w:val="24"/>
        </w:rPr>
        <w:t xml:space="preserve">A Fundamentação da </w:t>
      </w:r>
      <w:r>
        <w:rPr>
          <w:rFonts w:hint="default"/>
          <w:sz w:val="24"/>
          <w:szCs w:val="24"/>
          <w:lang w:val="pt-BR"/>
        </w:rPr>
        <w:t>aquisição</w:t>
      </w:r>
      <w:r>
        <w:rPr>
          <w:sz w:val="24"/>
          <w:szCs w:val="24"/>
        </w:rPr>
        <w:t xml:space="preserve">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left="11" w:leftChars="0" w:firstLine="709" w:firstLineChars="0"/>
        <w:rPr>
          <w:sz w:val="24"/>
          <w:szCs w:val="24"/>
          <w:highlight w:val="none"/>
        </w:rPr>
      </w:pPr>
      <w:r>
        <w:rPr>
          <w:sz w:val="24"/>
          <w:szCs w:val="24"/>
          <w:highlight w:val="none"/>
        </w:rPr>
        <w:t xml:space="preserve">O objeto da </w:t>
      </w:r>
      <w:r>
        <w:rPr>
          <w:rFonts w:hint="default"/>
          <w:sz w:val="24"/>
          <w:szCs w:val="24"/>
          <w:highlight w:val="none"/>
          <w:lang w:val="pt-BR"/>
        </w:rPr>
        <w:t>aquisição</w:t>
      </w:r>
      <w:r>
        <w:rPr>
          <w:sz w:val="24"/>
          <w:szCs w:val="24"/>
          <w:highlight w:val="none"/>
        </w:rPr>
        <w:t xml:space="preserve"> está previsto no Plano de Contratações Anual  de </w:t>
      </w:r>
      <w:r>
        <w:rPr>
          <w:rFonts w:hint="default"/>
          <w:sz w:val="24"/>
          <w:szCs w:val="24"/>
          <w:highlight w:val="none"/>
          <w:lang w:val="pt-BR"/>
        </w:rPr>
        <w:t>2023/2024</w:t>
      </w:r>
      <w:r>
        <w:rPr>
          <w:color w:val="auto"/>
          <w:sz w:val="24"/>
          <w:szCs w:val="24"/>
          <w:highlight w:val="none"/>
        </w:rPr>
        <w:t>.</w:t>
      </w:r>
      <w:r>
        <w:rPr>
          <w:rFonts w:hint="default"/>
          <w:color w:val="auto"/>
          <w:sz w:val="24"/>
          <w:szCs w:val="24"/>
          <w:highlight w:val="none"/>
          <w:lang w:val="pt-BR"/>
        </w:rPr>
        <w:t xml:space="preserve"> Os ítens a serem adquiridos enquadram- se em Insumos e Serviços para Saúde.</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left="11" w:leftChars="0" w:firstLine="709" w:firstLineChars="0"/>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 xml:space="preserve">Não haverá exigência da garantia da </w:t>
      </w:r>
      <w:r>
        <w:rPr>
          <w:rFonts w:hint="default"/>
          <w:i w:val="0"/>
          <w:iCs w:val="0"/>
          <w:color w:val="auto"/>
          <w:sz w:val="24"/>
          <w:szCs w:val="24"/>
          <w:highlight w:val="none"/>
          <w:lang w:val="pt-BR"/>
        </w:rPr>
        <w:t>aquisição</w:t>
      </w:r>
      <w:r>
        <w:rPr>
          <w:i w:val="0"/>
          <w:iCs w:val="0"/>
          <w:color w:val="auto"/>
          <w:sz w:val="24"/>
          <w:szCs w:val="24"/>
          <w:highlight w:val="none"/>
        </w:rPr>
        <w:t xml:space="preserve">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i w:val="0"/>
          <w:iCs w:val="0"/>
          <w:color w:val="auto"/>
          <w:sz w:val="24"/>
          <w:szCs w:val="24"/>
          <w:highlight w:val="none"/>
        </w:rPr>
        <w:t>, pelas razões constantes do Estudo Técnico Preliminar.</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O prazo de entrega dos bens é de </w:t>
      </w:r>
      <w:r>
        <w:rPr>
          <w:rFonts w:hint="default"/>
          <w:i w:val="0"/>
          <w:iCs w:val="0"/>
          <w:color w:val="auto"/>
          <w:sz w:val="24"/>
          <w:szCs w:val="24"/>
          <w:highlight w:val="none"/>
          <w:lang w:val="pt-BR"/>
        </w:rPr>
        <w:t>10</w:t>
      </w:r>
      <w:r>
        <w:rPr>
          <w:rFonts w:hint="default"/>
          <w:i w:val="0"/>
          <w:iCs w:val="0"/>
          <w:color w:val="auto"/>
          <w:sz w:val="24"/>
          <w:szCs w:val="24"/>
          <w:highlight w:val="none"/>
        </w:rPr>
        <w:t xml:space="preserve"> (</w:t>
      </w:r>
      <w:r>
        <w:rPr>
          <w:rFonts w:hint="default"/>
          <w:i w:val="0"/>
          <w:iCs w:val="0"/>
          <w:color w:val="auto"/>
          <w:sz w:val="24"/>
          <w:szCs w:val="24"/>
          <w:highlight w:val="none"/>
          <w:lang w:val="pt-BR"/>
        </w:rPr>
        <w:t>dez</w:t>
      </w:r>
      <w:bookmarkStart w:id="1" w:name="_GoBack"/>
      <w:bookmarkEnd w:id="1"/>
      <w:r>
        <w:rPr>
          <w:rFonts w:hint="default"/>
          <w:i w:val="0"/>
          <w:iCs w:val="0"/>
          <w:color w:val="auto"/>
          <w:sz w:val="24"/>
          <w:szCs w:val="24"/>
          <w:highlight w:val="none"/>
        </w:rPr>
        <w:t>)</w:t>
      </w:r>
      <w:r>
        <w:rPr>
          <w:rFonts w:hint="default"/>
          <w:i w:val="0"/>
          <w:iCs w:val="0"/>
          <w:color w:val="auto"/>
          <w:sz w:val="24"/>
          <w:szCs w:val="24"/>
          <w:highlight w:val="none"/>
          <w:lang w:val="pt-BR"/>
        </w:rPr>
        <w:t xml:space="preserve"> </w:t>
      </w:r>
      <w:r>
        <w:rPr>
          <w:rFonts w:hint="default"/>
          <w:i w:val="0"/>
          <w:iCs w:val="0"/>
          <w:color w:val="auto"/>
          <w:sz w:val="24"/>
          <w:szCs w:val="24"/>
          <w:highlight w:val="none"/>
        </w:rPr>
        <w:t>dias</w:t>
      </w:r>
      <w:r>
        <w:rPr>
          <w:rFonts w:hint="default"/>
          <w:i w:val="0"/>
          <w:iCs w:val="0"/>
          <w:color w:val="auto"/>
          <w:sz w:val="24"/>
          <w:szCs w:val="24"/>
          <w:highlight w:val="none"/>
          <w:lang w:val="pt-BR"/>
        </w:rPr>
        <w:t xml:space="preserve"> úteis</w:t>
      </w:r>
      <w:r>
        <w:rPr>
          <w:rFonts w:hint="default"/>
          <w:i w:val="0"/>
          <w:iCs w:val="0"/>
          <w:color w:val="auto"/>
          <w:sz w:val="24"/>
          <w:szCs w:val="24"/>
          <w:highlight w:val="none"/>
        </w:rPr>
        <w:t xml:space="preserve">, contados do(a) a partir do recebimento da ordem de compra, de forma parcelada. </w:t>
      </w:r>
    </w:p>
    <w:p>
      <w:pPr>
        <w:pStyle w:val="103"/>
        <w:spacing w:after="288"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 xml:space="preserve"> Os produtos deverão ser entregues com 1/3 da validade transcorrido, sob pena de devolução.</w:t>
      </w:r>
    </w:p>
    <w:p>
      <w:pPr>
        <w:pStyle w:val="103"/>
        <w:spacing w:after="288" w:afterLines="120" w:line="312" w:lineRule="auto"/>
        <w:ind w:left="11" w:leftChars="0" w:firstLine="709" w:firstLineChars="0"/>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w:t>
      </w:r>
      <w:r>
        <w:rPr>
          <w:rFonts w:hint="default"/>
          <w:i w:val="0"/>
          <w:iCs w:val="0"/>
          <w:color w:val="auto"/>
          <w:sz w:val="24"/>
          <w:szCs w:val="24"/>
          <w:highlight w:val="none"/>
          <w:lang w:val="pt-BR"/>
        </w:rPr>
        <w:t>5</w:t>
      </w:r>
      <w:r>
        <w:rPr>
          <w:rFonts w:hint="default"/>
          <w:i w:val="0"/>
          <w:iCs w:val="0"/>
          <w:color w:val="auto"/>
          <w:sz w:val="24"/>
          <w:szCs w:val="24"/>
          <w:highlight w:val="none"/>
        </w:rPr>
        <w:t xml:space="preserve"> (</w:t>
      </w:r>
      <w:r>
        <w:rPr>
          <w:rFonts w:hint="default"/>
          <w:i w:val="0"/>
          <w:iCs w:val="0"/>
          <w:color w:val="auto"/>
          <w:sz w:val="24"/>
          <w:szCs w:val="24"/>
          <w:highlight w:val="none"/>
          <w:lang w:val="pt-BR"/>
        </w:rPr>
        <w:t>cinco</w:t>
      </w:r>
      <w:r>
        <w:rPr>
          <w:rFonts w:hint="default"/>
          <w:i w:val="0"/>
          <w:iCs w:val="0"/>
          <w:color w:val="auto"/>
          <w:sz w:val="24"/>
          <w:szCs w:val="24"/>
          <w:highlight w:val="none"/>
        </w:rPr>
        <w:t>) dias de antecedência para que qualquer pleito de prorrogação de prazo seja analisado, ressalvadas situações de caso fortuito e força maior.</w:t>
      </w:r>
    </w:p>
    <w:p>
      <w:pPr>
        <w:pStyle w:val="103"/>
        <w:spacing w:after="288" w:afterLines="120" w:line="312" w:lineRule="auto"/>
        <w:ind w:left="11" w:leftChars="0" w:firstLine="709" w:firstLineChars="0"/>
        <w:rPr>
          <w:i w:val="0"/>
          <w:iCs w:val="0"/>
          <w:color w:val="auto"/>
          <w:sz w:val="24"/>
          <w:szCs w:val="24"/>
          <w:highlight w:val="none"/>
        </w:rPr>
      </w:pPr>
      <w:r>
        <w:rPr>
          <w:rFonts w:hint="default"/>
          <w:i w:val="0"/>
          <w:iCs w:val="0"/>
          <w:color w:val="auto"/>
          <w:sz w:val="24"/>
          <w:szCs w:val="24"/>
          <w:highlight w:val="none"/>
        </w:rPr>
        <w:t>Os bens deverão ser entregues no seguinte endereço: Farmácia de Minas  - Rua: Francisca da silva Campos, n° 60, Bairro: Belvedere, Arcos/MG.</w:t>
      </w:r>
      <w:r>
        <w:rPr>
          <w:rFonts w:hint="default"/>
          <w:i w:val="0"/>
          <w:iCs w:val="0"/>
          <w:color w:val="auto"/>
          <w:sz w:val="24"/>
          <w:szCs w:val="24"/>
          <w:highlight w:val="none"/>
          <w:lang w:val="pt-BR"/>
        </w:rPr>
        <w:t xml:space="preserve"> </w:t>
      </w:r>
      <w:r>
        <w:rPr>
          <w:rFonts w:hint="default"/>
          <w:i w:val="0"/>
          <w:iCs w:val="0"/>
          <w:color w:val="auto"/>
          <w:sz w:val="24"/>
          <w:szCs w:val="24"/>
          <w:highlight w:val="none"/>
          <w:lang w:val="pt-BR" w:eastAsia="pt-BR"/>
        </w:rPr>
        <w:t xml:space="preserve">O horário de funcionamento para entrega é de 07 hs às 15 hs, de segunda-feira a sexta-feira, ou outro horário estipulado na ordem de compra. </w:t>
      </w:r>
    </w:p>
    <w:p>
      <w:pPr>
        <w:pStyle w:val="103"/>
        <w:shd w:val="clear"/>
        <w:spacing w:after="288" w:afterLines="120" w:line="312" w:lineRule="auto"/>
        <w:ind w:left="11" w:leftChars="0" w:firstLine="709" w:firstLineChars="0"/>
        <w:rPr>
          <w:sz w:val="24"/>
          <w:szCs w:val="24"/>
          <w:highlight w:val="none"/>
        </w:rPr>
      </w:pPr>
      <w:r>
        <w:rPr>
          <w:rFonts w:hint="default"/>
          <w:i w:val="0"/>
          <w:iCs w:val="0"/>
          <w:color w:val="auto"/>
          <w:sz w:val="24"/>
          <w:szCs w:val="24"/>
          <w:highlight w:val="none"/>
          <w:lang w:val="pt-BR"/>
        </w:rPr>
        <w:t>A CONTRATADA ficará responsável pela entrega dos produtos, mesmo em locais que contenham mais de 1 (um) piso.</w:t>
      </w:r>
    </w:p>
    <w:p>
      <w:pPr>
        <w:pStyle w:val="103"/>
        <w:shd w:val="clear"/>
        <w:spacing w:after="288" w:afterLines="120" w:line="312" w:lineRule="auto"/>
        <w:ind w:left="11" w:leftChars="0" w:firstLine="709" w:firstLineChars="0"/>
        <w:rPr>
          <w:rFonts w:hint="default"/>
          <w:i w:val="0"/>
          <w:iCs w:val="0"/>
          <w:color w:val="auto"/>
          <w:sz w:val="24"/>
          <w:szCs w:val="24"/>
          <w:highlight w:val="none"/>
          <w:lang w:eastAsia="pt-BR"/>
        </w:rPr>
      </w:pPr>
      <w:r>
        <w:rPr>
          <w:rFonts w:hint="default"/>
          <w:i w:val="0"/>
          <w:iCs w:val="0"/>
          <w:color w:val="auto"/>
          <w:sz w:val="24"/>
          <w:szCs w:val="24"/>
          <w:highlight w:val="none"/>
          <w:lang w:eastAsia="pt-BR"/>
        </w:rPr>
        <w:t>O custo referente ao transporte dos materiais cobertos pela garantia será de responsabilidade d</w:t>
      </w:r>
      <w:r>
        <w:rPr>
          <w:rFonts w:hint="default"/>
          <w:i w:val="0"/>
          <w:iCs w:val="0"/>
          <w:color w:val="auto"/>
          <w:sz w:val="24"/>
          <w:szCs w:val="24"/>
          <w:highlight w:val="none"/>
          <w:lang w:val="en-US" w:eastAsia="pt-BR"/>
        </w:rPr>
        <w:t>a CONTRATADA</w:t>
      </w:r>
      <w:r>
        <w:rPr>
          <w:rFonts w:hint="default"/>
          <w:i w:val="0"/>
          <w:iCs w:val="0"/>
          <w:color w:val="auto"/>
          <w:sz w:val="24"/>
          <w:szCs w:val="24"/>
          <w:highlight w:val="none"/>
          <w:lang w:eastAsia="pt-BR"/>
        </w:rPr>
        <w:t>.</w:t>
      </w:r>
    </w:p>
    <w:p>
      <w:pPr>
        <w:pStyle w:val="103"/>
        <w:spacing w:after="288" w:afterLines="120" w:line="312" w:lineRule="auto"/>
        <w:ind w:left="11" w:leftChars="0" w:firstLine="709" w:firstLineChars="0"/>
        <w:rPr>
          <w:sz w:val="24"/>
          <w:szCs w:val="24"/>
          <w:highlight w:val="none"/>
        </w:rPr>
      </w:pPr>
      <w:r>
        <w:rPr>
          <w:rFonts w:hint="default"/>
          <w:i w:val="0"/>
          <w:iCs w:val="0"/>
          <w:color w:val="auto"/>
          <w:sz w:val="24"/>
          <w:szCs w:val="24"/>
          <w:highlight w:val="none"/>
          <w:lang w:val="pt-BR" w:eastAsia="pt-BR"/>
        </w:rPr>
        <w:t>Todos os medicamentos entregues devem seguir os protocolos exigidos pelo Conselho Federal de Farmácia, tendo na embalagem a inscrição do farmacêutico responsável e registro no Ministério da Saúde</w:t>
      </w:r>
      <w:r>
        <w:rPr>
          <w:rFonts w:hint="default"/>
          <w:i w:val="0"/>
          <w:iCs w:val="0"/>
          <w:color w:val="auto"/>
          <w:sz w:val="24"/>
          <w:szCs w:val="24"/>
          <w:highlight w:val="none"/>
          <w:lang w:val="en-US" w:eastAsia="pt-BR"/>
        </w:rPr>
        <w:t>.</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left="11" w:leftChars="0" w:firstLine="709" w:firstLineChars="0"/>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left="11" w:leftChars="0" w:firstLine="709" w:firstLineChars="0"/>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left="11" w:leftChars="0" w:firstLine="709" w:firstLineChars="0"/>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left="11" w:leftChars="0" w:firstLine="709" w:firstLineChars="0"/>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left="11" w:leftChars="0" w:firstLine="709" w:firstLineChars="0"/>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left="11" w:leftChars="0" w:firstLine="709" w:firstLineChars="0"/>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w:t>
      </w:r>
      <w:r>
        <w:rPr>
          <w:rFonts w:hint="default"/>
          <w:sz w:val="24"/>
          <w:szCs w:val="24"/>
          <w:lang w:val="pt-BR"/>
        </w:rPr>
        <w:t xml:space="preserve">a </w:t>
      </w:r>
      <w:r>
        <w:rPr>
          <w:sz w:val="24"/>
          <w:szCs w:val="24"/>
        </w:rPr>
        <w:t>servidor</w:t>
      </w:r>
      <w:r>
        <w:rPr>
          <w:rFonts w:hint="default"/>
          <w:sz w:val="24"/>
          <w:szCs w:val="24"/>
          <w:lang w:val="pt-BR"/>
        </w:rPr>
        <w:t>a Amanda Rilsa Alves Guimarães MASP:</w:t>
      </w:r>
      <w:r>
        <w:rPr>
          <w:rFonts w:hint="default" w:ascii="Arial" w:hAnsi="Arial" w:cs="Arial"/>
          <w:i w:val="0"/>
          <w:iCs w:val="0"/>
          <w:color w:val="000000"/>
          <w:sz w:val="24"/>
          <w:szCs w:val="24"/>
          <w:u w:val="none"/>
          <w:vertAlign w:val="baseline"/>
          <w:lang w:val="pt-BR"/>
        </w:rPr>
        <w:t>158374/3</w:t>
      </w:r>
      <w:r>
        <w:rPr>
          <w:rFonts w:hint="default"/>
          <w:sz w:val="24"/>
          <w:szCs w:val="24"/>
          <w:lang w:val="pt-BR"/>
        </w:rPr>
        <w:t xml:space="preserve"> p</w:t>
      </w:r>
      <w:r>
        <w:rPr>
          <w:sz w:val="24"/>
          <w:szCs w:val="24"/>
        </w:rPr>
        <w:t>ara atuar como fiscal do contrato e o servidor</w:t>
      </w:r>
      <w:permStart w:id="0" w:edGrp="everyone"/>
      <w:r>
        <w:rPr>
          <w:rFonts w:hint="default"/>
          <w:sz w:val="24"/>
          <w:szCs w:val="24"/>
          <w:lang w:val="pt-BR"/>
        </w:rPr>
        <w:t xml:space="preserve"> Tiago Carvalho de Oliveira MASP: </w:t>
      </w:r>
      <w:r>
        <w:rPr>
          <w:rFonts w:hint="default" w:ascii="Arial" w:hAnsi="Arial" w:cs="Arial"/>
          <w:i w:val="0"/>
          <w:iCs w:val="0"/>
          <w:color w:val="000000"/>
          <w:sz w:val="24"/>
          <w:szCs w:val="24"/>
          <w:u w:val="none"/>
          <w:vertAlign w:val="baseline"/>
          <w:lang w:val="pt-BR"/>
        </w:rPr>
        <w:t>5987/0</w:t>
      </w:r>
      <w:r>
        <w:rPr>
          <w:sz w:val="24"/>
          <w:szCs w:val="24"/>
        </w:rPr>
        <w:t xml:space="preserve"> </w:t>
      </w:r>
      <w:permEnd w:id="0"/>
      <w:r>
        <w:rPr>
          <w:sz w:val="24"/>
          <w:szCs w:val="24"/>
        </w:rPr>
        <w:t>para atuar como gestor do contrato.</w:t>
      </w:r>
    </w:p>
    <w:p>
      <w:pPr>
        <w:pStyle w:val="56"/>
        <w:spacing w:after="288" w:afterLines="120" w:line="312" w:lineRule="auto"/>
        <w:ind w:left="11" w:leftChars="0" w:firstLine="709" w:firstLineChars="0"/>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left="11" w:leftChars="0" w:firstLine="709" w:firstLineChars="0"/>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left="11" w:leftChars="0" w:firstLine="709" w:firstLineChars="0"/>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left="11" w:leftChars="0" w:firstLine="709" w:firstLineChars="0"/>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left="11" w:leftChars="0" w:firstLine="709" w:firstLineChars="0"/>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left="11" w:leftChars="0" w:firstLine="709" w:firstLineChars="0"/>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left="11" w:leftChars="0" w:firstLine="709" w:firstLineChars="0"/>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left="11" w:leftChars="0" w:firstLine="709" w:firstLineChars="0"/>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left="11" w:leftChars="0" w:firstLine="709" w:firstLineChars="0"/>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left="11" w:leftChars="0" w:firstLine="709" w:firstLineChars="0"/>
        <w:rPr>
          <w:sz w:val="24"/>
          <w:szCs w:val="24"/>
        </w:rPr>
      </w:pPr>
      <w:r>
        <w:rPr>
          <w:sz w:val="24"/>
          <w:szCs w:val="24"/>
        </w:rPr>
        <w:t xml:space="preserve">O pagamento será efetuado no prazo de até </w:t>
      </w:r>
      <w:r>
        <w:rPr>
          <w:rFonts w:hint="default"/>
          <w:sz w:val="24"/>
          <w:szCs w:val="24"/>
          <w:lang w:val="pt-BR"/>
        </w:rPr>
        <w:t>30 (</w:t>
      </w:r>
      <w:r>
        <w:rPr>
          <w:sz w:val="24"/>
          <w:szCs w:val="24"/>
          <w:highlight w:val="yellow"/>
        </w:rPr>
        <w:t>trinta</w:t>
      </w:r>
      <w:r>
        <w:rPr>
          <w:rFonts w:hint="default"/>
          <w:sz w:val="24"/>
          <w:szCs w:val="24"/>
          <w:highlight w:val="yellow"/>
          <w:lang w:val="pt-BR"/>
        </w:rPr>
        <w:t>)</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left="11" w:leftChars="0" w:firstLine="709" w:firstLineChars="0"/>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left="11" w:leftChars="0" w:firstLine="709" w:firstLineChars="0"/>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left="11" w:leftChars="0" w:firstLine="709" w:firstLineChars="0"/>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left="11" w:leftChars="0" w:firstLine="709" w:firstLineChars="0"/>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left="11" w:leftChars="0" w:firstLine="709" w:firstLineChars="0"/>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item. </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left="11" w:leftChars="0" w:firstLine="709" w:firstLineChars="0"/>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left="11" w:leftChars="0" w:firstLine="709" w:firstLineChars="0"/>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left="11" w:leftChars="0" w:firstLine="709" w:firstLineChars="0"/>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left="11" w:leftChars="0" w:firstLine="709" w:firstLineChars="0"/>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left="11" w:leftChars="0" w:firstLine="709" w:firstLineChars="0"/>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left="11" w:leftChars="0" w:firstLine="709" w:firstLineChars="0"/>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288" w:afterLines="120" w:line="312" w:lineRule="auto"/>
        <w:ind w:left="11" w:leftChars="0" w:firstLine="709" w:firstLineChars="0"/>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288" w:afterLines="120" w:line="312" w:lineRule="auto"/>
        <w:ind w:left="11" w:leftChars="0" w:firstLine="709" w:firstLineChars="0"/>
        <w:rPr>
          <w:sz w:val="24"/>
          <w:szCs w:val="24"/>
        </w:rPr>
      </w:pPr>
      <w:r>
        <w:rPr>
          <w:sz w:val="24"/>
          <w:szCs w:val="24"/>
        </w:rPr>
        <w:t>Os documentos apresentados deverão estar acompanhados de todas as alterações ou da consolidação respectiva.</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left="11" w:leftChars="0" w:firstLine="709" w:firstLineChars="0"/>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left="11" w:leftChars="0" w:firstLine="709" w:firstLineChars="0"/>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left="11" w:leftChars="0" w:firstLine="709" w:firstLineChars="0"/>
        <w:rPr>
          <w:sz w:val="24"/>
          <w:szCs w:val="24"/>
        </w:rPr>
      </w:pPr>
      <w:r>
        <w:rPr>
          <w:sz w:val="24"/>
          <w:szCs w:val="24"/>
        </w:rPr>
        <w:t>Prova de regularidade com o Fundo de Garantia do Tempo de Serviço (FGTS);</w:t>
      </w:r>
    </w:p>
    <w:p>
      <w:pPr>
        <w:pStyle w:val="56"/>
        <w:spacing w:after="288" w:afterLines="120" w:line="312" w:lineRule="auto"/>
        <w:ind w:left="11" w:leftChars="0" w:firstLine="709" w:firstLineChars="0"/>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left="11" w:leftChars="0" w:firstLine="709" w:firstLineChars="0"/>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left="11" w:leftChars="0" w:firstLine="709" w:firstLineChars="0"/>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left="11" w:leftChars="0" w:firstLine="709" w:firstLineChars="0"/>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left="11" w:leftChars="0" w:firstLine="709" w:firstLineChars="0"/>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left="11" w:leftChars="0" w:firstLine="709" w:firstLineChars="0"/>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left="11" w:leftChars="0" w:firstLine="709" w:firstLineChars="0"/>
        <w:rPr>
          <w:sz w:val="24"/>
          <w:szCs w:val="24"/>
        </w:rPr>
      </w:pPr>
      <w:r>
        <w:rPr>
          <w:sz w:val="24"/>
          <w:szCs w:val="24"/>
        </w:rPr>
        <w:t>Balanço patrimonial, demonstração de resultado de exercício e demais demonstrações contábeis relativos</w:t>
      </w:r>
      <w:r>
        <w:rPr>
          <w:rFonts w:hint="default"/>
          <w:sz w:val="24"/>
          <w:szCs w:val="24"/>
          <w:lang w:val="pt-BR"/>
        </w:rPr>
        <w:t xml:space="preserve"> </w:t>
      </w:r>
      <w:r>
        <w:rPr>
          <w:sz w:val="24"/>
          <w:szCs w:val="24"/>
        </w:rPr>
        <w:t>ao último exercício</w:t>
      </w:r>
      <w:r>
        <w:rPr>
          <w:rFonts w:hint="default"/>
          <w:sz w:val="24"/>
          <w:szCs w:val="24"/>
          <w:lang w:val="pt-BR"/>
        </w:rPr>
        <w:t xml:space="preserve"> </w:t>
      </w:r>
      <w:r>
        <w:rPr>
          <w:sz w:val="24"/>
          <w:szCs w:val="24"/>
          <w:highlight w:val="yellow"/>
        </w:rPr>
        <w:t>2022.</w:t>
      </w:r>
      <w:r>
        <w:rPr>
          <w:sz w:val="24"/>
          <w:szCs w:val="24"/>
        </w:rPr>
        <w:t xml:space="preserve"> (Lei nº 14.133, de 2021, art. 69, §6º).</w:t>
      </w:r>
    </w:p>
    <w:p>
      <w:pPr>
        <w:pStyle w:val="56"/>
        <w:spacing w:after="288" w:afterLines="120" w:line="312" w:lineRule="auto"/>
        <w:ind w:left="11" w:leftChars="0" w:firstLine="709" w:firstLineChars="0"/>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b/>
          <w:bCs/>
          <w:i w:val="0"/>
          <w:iCs w:val="0"/>
          <w:color w:val="auto"/>
          <w:sz w:val="24"/>
          <w:szCs w:val="24"/>
          <w:lang w:eastAsia="zh-CN"/>
        </w:rPr>
        <w:t>Alvará sanitário</w:t>
      </w:r>
      <w:r>
        <w:rPr>
          <w:rFonts w:hint="default"/>
          <w:i w:val="0"/>
          <w:iCs w:val="0"/>
          <w:color w:val="auto"/>
          <w:sz w:val="24"/>
          <w:szCs w:val="24"/>
          <w:lang w:eastAsia="zh-CN"/>
        </w:rPr>
        <w:t xml:space="preserve"> (Licença Sanitária) da empresa licitante, expedido pela Vigilância Sanitária Estadual ou Municipal;</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b/>
          <w:bCs/>
          <w:i w:val="0"/>
          <w:iCs w:val="0"/>
          <w:color w:val="auto"/>
          <w:sz w:val="24"/>
          <w:szCs w:val="24"/>
          <w:lang w:eastAsia="zh-CN"/>
        </w:rPr>
        <w:t>Autorização de Funcionamento (AFE)</w:t>
      </w:r>
      <w:r>
        <w:rPr>
          <w:rFonts w:hint="default"/>
          <w:i w:val="0"/>
          <w:iCs w:val="0"/>
          <w:color w:val="auto"/>
          <w:sz w:val="24"/>
          <w:szCs w:val="24"/>
          <w:lang w:eastAsia="zh-CN"/>
        </w:rPr>
        <w:t>: ato de competência da Agência Nacional de Vigilância Sanitária, contendo autorização para o funcionamento de empresas ou estabelecimentos, instituições e órgãos, concedido mediante o cumprimento dos requisitos técnicos e administrativos constantes desta Resolução</w:t>
      </w:r>
      <w:r>
        <w:rPr>
          <w:rFonts w:hint="default"/>
          <w:i w:val="0"/>
          <w:iCs w:val="0"/>
          <w:color w:val="auto"/>
          <w:sz w:val="24"/>
          <w:szCs w:val="24"/>
          <w:lang w:val="pt-BR" w:eastAsia="zh-CN"/>
        </w:rPr>
        <w:t>;</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b/>
          <w:bCs/>
          <w:i w:val="0"/>
          <w:iCs w:val="0"/>
          <w:color w:val="auto"/>
          <w:sz w:val="24"/>
          <w:szCs w:val="24"/>
          <w:lang w:eastAsia="zh-CN"/>
        </w:rPr>
        <w:t>Autorização Especial (AE):</w:t>
      </w:r>
      <w:r>
        <w:rPr>
          <w:rFonts w:hint="default"/>
          <w:i w:val="0"/>
          <w:iCs w:val="0"/>
          <w:color w:val="auto"/>
          <w:sz w:val="24"/>
          <w:szCs w:val="24"/>
          <w:lang w:eastAsia="zh-CN"/>
        </w:rPr>
        <w:t xml:space="preserve"> ato de competência da Agência Nacional de Vigilância Sanitária que autoriza o exercício de atividades que envolvem insumos farmacêuticos, medicamentos e substâncias sujeitas a controle especial, bem como o cultivo de plantas que possam originar substâncias sujeitas a controle especial, mediante comprovação de requisitos técnicos e administrativos específicos, constantes desta Resolução;</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spacing w:after="288" w:afterLines="120" w:line="312" w:lineRule="auto"/>
        <w:ind w:left="11" w:leftChars="0" w:firstLine="709" w:firstLineChars="0"/>
        <w:rPr>
          <w:rFonts w:hint="default"/>
          <w:i w:val="0"/>
          <w:iCs w:val="0"/>
          <w:color w:val="auto"/>
          <w:sz w:val="24"/>
          <w:szCs w:val="24"/>
          <w:lang w:eastAsia="zh-CN"/>
        </w:rPr>
      </w:pPr>
      <w:r>
        <w:rPr>
          <w:rFonts w:hint="default"/>
          <w:i w:val="0"/>
          <w:iCs w:val="0"/>
          <w:color w:val="auto"/>
          <w:sz w:val="24"/>
          <w:szCs w:val="24"/>
          <w:lang w:eastAsia="zh-CN"/>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left="11" w:leftChars="0" w:firstLine="709" w:firstLineChars="0"/>
        <w:rPr>
          <w:b/>
          <w:bCs/>
          <w:i w:val="0"/>
          <w:iCs w:val="0"/>
          <w:color w:val="auto"/>
          <w:sz w:val="24"/>
          <w:szCs w:val="24"/>
          <w:highlight w:val="none"/>
        </w:rPr>
      </w:pPr>
      <w:permStart w:id="1" w:edGrp="everyone"/>
      <w:r>
        <w:rPr>
          <w:rFonts w:hint="default"/>
          <w:i w:val="0"/>
          <w:iCs w:val="0"/>
          <w:color w:val="auto"/>
          <w:sz w:val="24"/>
          <w:szCs w:val="24"/>
          <w:highlight w:val="none"/>
        </w:rPr>
        <w:t xml:space="preserve">O custo estimado total da </w:t>
      </w:r>
      <w:r>
        <w:rPr>
          <w:rFonts w:hint="default"/>
          <w:i w:val="0"/>
          <w:iCs w:val="0"/>
          <w:color w:val="auto"/>
          <w:sz w:val="24"/>
          <w:szCs w:val="24"/>
          <w:highlight w:val="none"/>
          <w:lang w:val="pt-BR"/>
        </w:rPr>
        <w:t>aquisição</w:t>
      </w:r>
      <w:r>
        <w:rPr>
          <w:rFonts w:hint="default"/>
          <w:i w:val="0"/>
          <w:iCs w:val="0"/>
          <w:color w:val="auto"/>
          <w:sz w:val="24"/>
          <w:szCs w:val="24"/>
          <w:highlight w:val="none"/>
        </w:rPr>
        <w:t xml:space="preserve"> está na tabela encaminhada pelo departamento de Suprimentos em anexo.</w:t>
      </w:r>
    </w:p>
    <w:p>
      <w:pPr>
        <w:pStyle w:val="39"/>
        <w:spacing w:before="120" w:after="288" w:afterLines="120" w:line="312" w:lineRule="auto"/>
        <w:rPr>
          <w:sz w:val="24"/>
          <w:szCs w:val="24"/>
        </w:rPr>
      </w:pPr>
      <w:r>
        <w:rPr>
          <w:rFonts w:hint="default"/>
          <w:sz w:val="24"/>
          <w:szCs w:val="24"/>
          <w:lang w:val="pt-BR"/>
        </w:rPr>
        <w:t xml:space="preserve"> </w:t>
      </w:r>
      <w:permEnd w:id="1"/>
      <w:r>
        <w:rPr>
          <w:sz w:val="24"/>
          <w:szCs w:val="24"/>
        </w:rPr>
        <w:t>ADEQUAÇÃO ORÇAMENTÁRIA</w:t>
      </w:r>
    </w:p>
    <w:p>
      <w:pPr>
        <w:pStyle w:val="56"/>
        <w:spacing w:after="288" w:afterLines="120" w:line="312" w:lineRule="auto"/>
        <w:ind w:left="11" w:leftChars="0" w:firstLine="709" w:firstLineChars="0"/>
        <w:rPr>
          <w:sz w:val="24"/>
          <w:szCs w:val="24"/>
        </w:rPr>
      </w:pPr>
      <w:r>
        <w:rPr>
          <w:rFonts w:eastAsia="Arial"/>
          <w:sz w:val="24"/>
          <w:szCs w:val="24"/>
        </w:rPr>
        <w:t xml:space="preserve">As despesas decorrentes da presente </w:t>
      </w:r>
      <w:r>
        <w:rPr>
          <w:rFonts w:hint="default" w:eastAsia="Arial"/>
          <w:sz w:val="24"/>
          <w:szCs w:val="24"/>
          <w:lang w:val="pt-BR"/>
        </w:rPr>
        <w:t>aquisição</w:t>
      </w:r>
      <w:r>
        <w:rPr>
          <w:rFonts w:eastAsia="Arial"/>
          <w:sz w:val="24"/>
          <w:szCs w:val="24"/>
        </w:rPr>
        <w:t xml:space="preserve">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2" w:edGrp="everyone"/>
      <w:r>
        <w:rPr>
          <w:rFonts w:hint="default"/>
          <w:color w:val="auto"/>
          <w:sz w:val="24"/>
          <w:szCs w:val="24"/>
          <w:highlight w:val="none"/>
          <w:lang w:val="pt-BR"/>
        </w:rPr>
        <w:t>Arcos/MG, 08 de Janeiro de 2024</w:t>
      </w:r>
    </w:p>
    <w:p>
      <w:pPr>
        <w:pStyle w:val="56"/>
        <w:numPr>
          <w:ilvl w:val="0"/>
          <w:numId w:val="0"/>
        </w:numPr>
        <w:spacing w:afterLines="120" w:line="312" w:lineRule="auto"/>
        <w:jc w:val="right"/>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jc w:val="center"/>
        <w:textAlignment w:val="auto"/>
        <w:rPr>
          <w:rFonts w:hint="default"/>
          <w:b/>
          <w:bCs/>
          <w:color w:val="auto"/>
          <w:sz w:val="24"/>
          <w:szCs w:val="24"/>
          <w:highlight w:val="none"/>
          <w:lang w:val="pt-BR"/>
        </w:rPr>
      </w:pPr>
      <w:r>
        <w:rPr>
          <w:rFonts w:hint="default"/>
          <w:b/>
          <w:bCs/>
          <w:color w:val="auto"/>
          <w:sz w:val="24"/>
          <w:szCs w:val="24"/>
          <w:highlight w:val="none"/>
          <w:lang w:val="pt-BR"/>
        </w:rPr>
        <w:t>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jc w:val="center"/>
        <w:textAlignment w:val="auto"/>
        <w:rPr>
          <w:rFonts w:hint="default"/>
          <w:b/>
          <w:bCs/>
          <w:color w:val="auto"/>
          <w:sz w:val="24"/>
          <w:szCs w:val="24"/>
          <w:highlight w:val="none"/>
          <w:lang w:val="pt-BR"/>
        </w:rPr>
      </w:pPr>
      <w:r>
        <w:rPr>
          <w:rFonts w:hint="default"/>
          <w:b/>
          <w:bCs/>
          <w:color w:val="auto"/>
          <w:sz w:val="24"/>
          <w:szCs w:val="24"/>
          <w:highlight w:val="none"/>
          <w:lang w:val="pt-BR"/>
        </w:rPr>
        <w:t>Tiago Carvalho de Oliveira</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jc w:val="center"/>
        <w:textAlignment w:val="auto"/>
        <w:rPr>
          <w:rFonts w:ascii="Arial" w:hAnsi="Arial" w:cs="Arial"/>
          <w:highlight w:val="none"/>
        </w:rPr>
      </w:pPr>
      <w:r>
        <w:rPr>
          <w:rFonts w:hint="default"/>
          <w:color w:val="auto"/>
          <w:sz w:val="24"/>
          <w:szCs w:val="24"/>
          <w:highlight w:val="none"/>
          <w:lang w:val="pt-BR"/>
        </w:rPr>
        <w:t>Secretário Municipal de Saúde</w:t>
      </w:r>
      <w:r>
        <w:rPr>
          <w:rFonts w:ascii="Arial" w:hAnsi="Arial" w:eastAsia="Arial" w:cs="Arial"/>
          <w:highlight w:val="none"/>
        </w:rPr>
        <w:t>l</w:t>
      </w:r>
      <w:permEnd w:id="2"/>
    </w:p>
    <w:p>
      <w:pPr>
        <w:pStyle w:val="56"/>
        <w:numPr>
          <w:ilvl w:val="0"/>
          <w:numId w:val="0"/>
        </w:numPr>
        <w:spacing w:after="288" w:afterLines="120" w:line="312" w:lineRule="auto"/>
        <w:rPr>
          <w:sz w:val="24"/>
          <w:szCs w:val="24"/>
        </w:rPr>
      </w:pPr>
    </w:p>
    <w:bookmarkEnd w:id="0"/>
    <w:p>
      <w:pPr>
        <w:spacing w:before="120" w:after="288" w:afterLines="120" w:line="312" w:lineRule="auto"/>
        <w:ind w:left="360"/>
        <w:jc w:val="center"/>
        <w:rPr>
          <w:rFonts w:ascii="Arial" w:hAnsi="Arial" w:cs="Arial"/>
        </w:rPr>
      </w:pPr>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01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3EA709B"/>
    <w:rsid w:val="055AB46E"/>
    <w:rsid w:val="05B482E3"/>
    <w:rsid w:val="060EA3DB"/>
    <w:rsid w:val="063653B2"/>
    <w:rsid w:val="07AA743C"/>
    <w:rsid w:val="07D43EBF"/>
    <w:rsid w:val="0825C528"/>
    <w:rsid w:val="0AB4EB49"/>
    <w:rsid w:val="0C72485D"/>
    <w:rsid w:val="0C936B20"/>
    <w:rsid w:val="0C9E538D"/>
    <w:rsid w:val="0CD8499C"/>
    <w:rsid w:val="0DA1B3F3"/>
    <w:rsid w:val="0DB0AC54"/>
    <w:rsid w:val="0F79B9D7"/>
    <w:rsid w:val="10E0D201"/>
    <w:rsid w:val="11041DAD"/>
    <w:rsid w:val="114D992C"/>
    <w:rsid w:val="118D527A"/>
    <w:rsid w:val="13C021F0"/>
    <w:rsid w:val="15FB6522"/>
    <w:rsid w:val="165C66F7"/>
    <w:rsid w:val="16649FEF"/>
    <w:rsid w:val="187314D3"/>
    <w:rsid w:val="193305E4"/>
    <w:rsid w:val="19477D45"/>
    <w:rsid w:val="1A0CC7BE"/>
    <w:rsid w:val="1AB5ADE8"/>
    <w:rsid w:val="1AECDB15"/>
    <w:rsid w:val="1B723ADC"/>
    <w:rsid w:val="1BF12C60"/>
    <w:rsid w:val="1C3EC466"/>
    <w:rsid w:val="1C7E3712"/>
    <w:rsid w:val="1C8CA1DF"/>
    <w:rsid w:val="1CA52D74"/>
    <w:rsid w:val="1D38DAFD"/>
    <w:rsid w:val="21D19061"/>
    <w:rsid w:val="21E662A0"/>
    <w:rsid w:val="225CA34E"/>
    <w:rsid w:val="22B877AF"/>
    <w:rsid w:val="23272055"/>
    <w:rsid w:val="242F06C7"/>
    <w:rsid w:val="24DF3391"/>
    <w:rsid w:val="2657C157"/>
    <w:rsid w:val="26789B7A"/>
    <w:rsid w:val="27D707DD"/>
    <w:rsid w:val="29B3559A"/>
    <w:rsid w:val="29F468E2"/>
    <w:rsid w:val="2A115A7D"/>
    <w:rsid w:val="2B4D64D2"/>
    <w:rsid w:val="2B7872A7"/>
    <w:rsid w:val="2DC65D26"/>
    <w:rsid w:val="2E29257B"/>
    <w:rsid w:val="2E715A7F"/>
    <w:rsid w:val="2F33A853"/>
    <w:rsid w:val="3003D639"/>
    <w:rsid w:val="3022A7F5"/>
    <w:rsid w:val="30CF78B4"/>
    <w:rsid w:val="34A1E81C"/>
    <w:rsid w:val="3563274A"/>
    <w:rsid w:val="36EC78EE"/>
    <w:rsid w:val="36F4710C"/>
    <w:rsid w:val="390C2635"/>
    <w:rsid w:val="3920A23A"/>
    <w:rsid w:val="399A2B53"/>
    <w:rsid w:val="3AE9E302"/>
    <w:rsid w:val="3B9683F7"/>
    <w:rsid w:val="3BCB3C2E"/>
    <w:rsid w:val="3BEA3CEE"/>
    <w:rsid w:val="3CAB666A"/>
    <w:rsid w:val="40993BDC"/>
    <w:rsid w:val="411272C2"/>
    <w:rsid w:val="41E93BCC"/>
    <w:rsid w:val="4284D176"/>
    <w:rsid w:val="42E0FEE6"/>
    <w:rsid w:val="446868FA"/>
    <w:rsid w:val="449EE389"/>
    <w:rsid w:val="44A8FB23"/>
    <w:rsid w:val="458F270B"/>
    <w:rsid w:val="4638CD78"/>
    <w:rsid w:val="471E9E97"/>
    <w:rsid w:val="47830D74"/>
    <w:rsid w:val="484339E3"/>
    <w:rsid w:val="48703D10"/>
    <w:rsid w:val="48C08A7A"/>
    <w:rsid w:val="4AD3BACB"/>
    <w:rsid w:val="4B428375"/>
    <w:rsid w:val="4B8F2946"/>
    <w:rsid w:val="4D338AB3"/>
    <w:rsid w:val="4DE63E75"/>
    <w:rsid w:val="4E973839"/>
    <w:rsid w:val="512C7C40"/>
    <w:rsid w:val="515AB37A"/>
    <w:rsid w:val="5189942C"/>
    <w:rsid w:val="52F683DB"/>
    <w:rsid w:val="532B3C12"/>
    <w:rsid w:val="55FA4715"/>
    <w:rsid w:val="5658C53A"/>
    <w:rsid w:val="569C1CFF"/>
    <w:rsid w:val="583BAD14"/>
    <w:rsid w:val="58ED34F0"/>
    <w:rsid w:val="59FE6A85"/>
    <w:rsid w:val="5B460906"/>
    <w:rsid w:val="5B58F1E4"/>
    <w:rsid w:val="5CD15AEC"/>
    <w:rsid w:val="5E1E1829"/>
    <w:rsid w:val="5EE1B42A"/>
    <w:rsid w:val="607D848B"/>
    <w:rsid w:val="61981D74"/>
    <w:rsid w:val="61D6BAE2"/>
    <w:rsid w:val="621C6407"/>
    <w:rsid w:val="633AA146"/>
    <w:rsid w:val="64D671A7"/>
    <w:rsid w:val="650E5BA4"/>
    <w:rsid w:val="67AF5CA0"/>
    <w:rsid w:val="686933C8"/>
    <w:rsid w:val="687E39BF"/>
    <w:rsid w:val="69CA7D61"/>
    <w:rsid w:val="6B89711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A8A2E09"/>
    <w:rsid w:val="7B63C47B"/>
    <w:rsid w:val="7C19F02A"/>
    <w:rsid w:val="7D0285A2"/>
    <w:rsid w:val="7D377ED9"/>
    <w:rsid w:val="7D7D2BF1"/>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2B11408A-6D5C-4CA6-95AE-BDB1C00B1E4C}">
  <ds:schemaRefs/>
</ds:datastoreItem>
</file>

<file path=customXml/itemProps6.xml><?xml version="1.0" encoding="utf-8"?>
<ds:datastoreItem xmlns:ds="http://schemas.openxmlformats.org/officeDocument/2006/customXml" ds:itemID="{A1465CDB-1419-435A-AC24-1D47985E0D4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20</TotalTime>
  <ScaleCrop>false</ScaleCrop>
  <LinksUpToDate>false</LinksUpToDate>
  <CharactersWithSpaces>30501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rpinheiro</cp:lastModifiedBy>
  <cp:lastPrinted>2023-12-04T17:30:00Z</cp:lastPrinted>
  <dcterms:modified xsi:type="dcterms:W3CDTF">2024-01-22T16:45:25Z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EBB9A26E63A843A786BE7BC40D9BF712</vt:lpwstr>
  </property>
</Properties>
</file>