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0" w:name="_Hlk82471863"/>
      <w:r>
        <w:rPr>
          <w:rFonts w:ascii="Arial" w:hAnsi="Arial" w:eastAsia="Times New Roman" w:cs="Arial"/>
          <w:b/>
          <w:iCs/>
        </w:rPr>
        <w:t>TERMO DE REFERÊNCIA</w:t>
      </w:r>
    </w:p>
    <w:p>
      <w:pPr>
        <w:jc w:val="center"/>
        <w:rPr>
          <w:rFonts w:hint="default" w:ascii="Arial" w:hAnsi="Arial" w:eastAsia="Times New Roman" w:cs="Arial"/>
          <w:b/>
          <w:iCs/>
          <w:lang w:val="pt-BR"/>
        </w:rPr>
      </w:pPr>
      <w:r>
        <w:rPr>
          <w:rFonts w:hint="default" w:ascii="Arial" w:hAnsi="Arial" w:eastAsia="Times New Roman" w:cs="Arial"/>
          <w:b/>
          <w:iCs/>
          <w:lang w:val="pt-BR"/>
        </w:rPr>
        <w:t>DISPENSA DE LICITAÇÃO N° 0110/2023</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288" w:afterLines="120" w:line="312" w:lineRule="auto"/>
        <w:ind w:left="0" w:firstLine="0"/>
        <w:rPr>
          <w:rFonts w:eastAsia="Arial"/>
          <w:sz w:val="24"/>
          <w:szCs w:val="24"/>
        </w:rPr>
      </w:pPr>
      <w:r>
        <w:rPr>
          <w:sz w:val="24"/>
          <w:szCs w:val="24"/>
        </w:rPr>
        <w:t>CONDIÇÕES GERAIS DA CONTRATAÇÃO</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cs="Arial"/>
          <w:b w:val="0"/>
          <w:bCs w:val="0"/>
          <w:sz w:val="24"/>
          <w:szCs w:val="24"/>
          <w:lang w:val="pt-BR"/>
        </w:rPr>
      </w:pPr>
      <w:r>
        <w:rPr>
          <w:rFonts w:hint="default" w:ascii="Arial" w:hAnsi="Arial" w:cs="Arial"/>
          <w:b w:val="0"/>
          <w:bCs w:val="0"/>
          <w:sz w:val="24"/>
          <w:szCs w:val="24"/>
        </w:rPr>
        <w:t>Contratação de serviço de consulta a banco de dados de localização e confirmação de dados cadastrais com telefones fixos e móveis de pessoas físicas e jurídicas para a polícia militar, incluindo licença de uso e ativação</w:t>
      </w:r>
      <w:r>
        <w:rPr>
          <w:rFonts w:hint="default" w:ascii="Arial" w:hAnsi="Arial" w:cs="Arial"/>
          <w:b w:val="0"/>
          <w:bCs w:val="0"/>
          <w:sz w:val="24"/>
          <w:szCs w:val="24"/>
          <w:lang w:val="pt-BR"/>
        </w:rPr>
        <w:t>.</w:t>
      </w:r>
    </w:p>
    <w:tbl>
      <w:tblPr>
        <w:tblStyle w:val="8"/>
        <w:tblpPr w:leftFromText="180" w:rightFromText="180" w:vertAnchor="text" w:horzAnchor="page" w:tblpX="1473" w:tblpY="316"/>
        <w:tblOverlap w:val="never"/>
        <w:tblW w:w="4885" w:type="pc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8" w:type="dxa"/>
          <w:bottom w:w="0" w:type="dxa"/>
          <w:right w:w="108" w:type="dxa"/>
        </w:tblCellMar>
      </w:tblPr>
      <w:tblGrid>
        <w:gridCol w:w="549"/>
        <w:gridCol w:w="3294"/>
        <w:gridCol w:w="825"/>
        <w:gridCol w:w="1312"/>
        <w:gridCol w:w="1322"/>
        <w:gridCol w:w="1753"/>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30" w:hRule="atLeast"/>
        </w:trPr>
        <w:tc>
          <w:tcPr>
            <w:tcW w:w="549"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16"/>
                <w:szCs w:val="16"/>
                <w:lang w:val="pt-BR"/>
              </w:rPr>
            </w:pPr>
            <w:r>
              <w:rPr>
                <w:rFonts w:hint="default" w:ascii="Arial" w:hAnsi="Arial" w:cs="Arial"/>
                <w:b/>
                <w:bCs w:val="0"/>
                <w:color w:val="auto"/>
                <w:sz w:val="16"/>
                <w:szCs w:val="16"/>
              </w:rPr>
              <w:t>Item</w:t>
            </w:r>
          </w:p>
        </w:tc>
        <w:tc>
          <w:tcPr>
            <w:tcW w:w="3294"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16"/>
                <w:szCs w:val="16"/>
                <w:lang w:val="pt-BR"/>
              </w:rPr>
            </w:pPr>
            <w:r>
              <w:rPr>
                <w:rFonts w:hint="default" w:ascii="Arial" w:hAnsi="Arial" w:cs="Arial"/>
                <w:b/>
                <w:bCs w:val="0"/>
                <w:color w:val="auto"/>
                <w:sz w:val="16"/>
                <w:szCs w:val="16"/>
              </w:rPr>
              <w:t>Descrição</w:t>
            </w:r>
          </w:p>
        </w:tc>
        <w:tc>
          <w:tcPr>
            <w:tcW w:w="825"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16"/>
                <w:szCs w:val="16"/>
                <w:lang w:val="pt-BR"/>
              </w:rPr>
            </w:pPr>
            <w:r>
              <w:rPr>
                <w:rFonts w:hint="default" w:ascii="Arial" w:hAnsi="Arial" w:cs="Arial"/>
                <w:b/>
                <w:bCs w:val="0"/>
                <w:color w:val="auto"/>
                <w:sz w:val="16"/>
                <w:szCs w:val="16"/>
              </w:rPr>
              <w:t>Q</w:t>
            </w:r>
            <w:r>
              <w:rPr>
                <w:rFonts w:hint="default" w:ascii="Arial" w:hAnsi="Arial" w:cs="Arial"/>
                <w:b/>
                <w:bCs w:val="0"/>
                <w:color w:val="auto"/>
                <w:sz w:val="16"/>
                <w:szCs w:val="16"/>
                <w:lang w:val="pt-BR"/>
              </w:rPr>
              <w:t>td</w:t>
            </w:r>
          </w:p>
        </w:tc>
        <w:tc>
          <w:tcPr>
            <w:tcW w:w="1312"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16"/>
                <w:szCs w:val="16"/>
                <w:lang w:val="pt-BR"/>
              </w:rPr>
            </w:pPr>
            <w:r>
              <w:rPr>
                <w:rFonts w:hint="default" w:ascii="Arial" w:hAnsi="Arial" w:cs="Arial"/>
                <w:b/>
                <w:bCs w:val="0"/>
                <w:color w:val="auto"/>
                <w:sz w:val="16"/>
                <w:szCs w:val="16"/>
                <w:lang w:val="pt-BR"/>
              </w:rPr>
              <w:t xml:space="preserve">Unidade de </w:t>
            </w:r>
            <w:r>
              <w:rPr>
                <w:rFonts w:hint="default" w:ascii="Arial" w:hAnsi="Arial" w:cs="Arial"/>
                <w:b/>
                <w:bCs w:val="0"/>
                <w:color w:val="auto"/>
                <w:sz w:val="16"/>
                <w:szCs w:val="16"/>
              </w:rPr>
              <w:t>Medida</w:t>
            </w:r>
          </w:p>
        </w:tc>
        <w:tc>
          <w:tcPr>
            <w:tcW w:w="1322"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16"/>
                <w:szCs w:val="16"/>
                <w:lang w:val="pt-BR"/>
              </w:rPr>
            </w:pPr>
            <w:r>
              <w:rPr>
                <w:rFonts w:hint="default" w:ascii="Arial" w:hAnsi="Arial" w:cs="Arial"/>
                <w:b/>
                <w:bCs w:val="0"/>
                <w:color w:val="auto"/>
                <w:sz w:val="16"/>
                <w:szCs w:val="16"/>
                <w:lang w:val="pt-BR"/>
              </w:rPr>
              <w:t xml:space="preserve">Valor Unit. </w:t>
            </w:r>
          </w:p>
        </w:tc>
        <w:tc>
          <w:tcPr>
            <w:tcW w:w="1753"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16"/>
                <w:szCs w:val="16"/>
                <w:lang w:val="pt-BR"/>
              </w:rPr>
            </w:pPr>
            <w:r>
              <w:rPr>
                <w:rFonts w:hint="default" w:ascii="Arial" w:hAnsi="Arial" w:cs="Arial"/>
                <w:b/>
                <w:bCs w:val="0"/>
                <w:color w:val="auto"/>
                <w:sz w:val="16"/>
                <w:szCs w:val="16"/>
                <w:lang w:val="pt-BR"/>
              </w:rPr>
              <w:t xml:space="preserve">Valor Total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49"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16"/>
                <w:szCs w:val="16"/>
                <w:lang w:val="pt-BR"/>
              </w:rPr>
            </w:pPr>
            <w:r>
              <w:rPr>
                <w:rFonts w:hint="default" w:ascii="Arial" w:hAnsi="Arial" w:cs="Arial"/>
                <w:b/>
                <w:bCs w:val="0"/>
                <w:color w:val="auto"/>
                <w:sz w:val="16"/>
                <w:szCs w:val="16"/>
                <w:lang w:val="pt-BR"/>
              </w:rPr>
              <w:t>01</w:t>
            </w:r>
          </w:p>
        </w:tc>
        <w:tc>
          <w:tcPr>
            <w:tcW w:w="3294" w:type="dxa"/>
            <w:tcBorders>
              <w:top w:val="single" w:color="00000A" w:sz="4" w:space="0"/>
              <w:left w:val="single" w:color="00000A" w:sz="4" w:space="0"/>
              <w:bottom w:val="single" w:color="00000A" w:sz="4" w:space="0"/>
              <w:right w:val="single" w:color="00000A" w:sz="4" w:space="0"/>
            </w:tcBorders>
            <w:vAlign w:val="top"/>
          </w:tcPr>
          <w:p>
            <w:pPr>
              <w:spacing w:after="0" w:line="240" w:lineRule="auto"/>
              <w:jc w:val="both"/>
              <w:rPr>
                <w:rFonts w:hint="default" w:ascii="Arial" w:hAnsi="Arial" w:cs="Arial"/>
                <w:sz w:val="24"/>
                <w:szCs w:val="24"/>
                <w:lang w:val="pt-BR"/>
              </w:rPr>
            </w:pPr>
            <w:r>
              <w:rPr>
                <w:rFonts w:hint="default" w:ascii="Arial" w:hAnsi="Arial" w:cs="Arial"/>
                <w:sz w:val="24"/>
                <w:szCs w:val="24"/>
                <w:lang w:val="pt-BR"/>
              </w:rPr>
              <w:t>S</w:t>
            </w:r>
            <w:r>
              <w:rPr>
                <w:rFonts w:hint="default" w:ascii="Arial" w:hAnsi="Arial" w:cs="Arial"/>
                <w:sz w:val="24"/>
                <w:szCs w:val="24"/>
              </w:rPr>
              <w:t>erviço de consulta a banco de dados de localização e confirmação de dados cadastrais</w:t>
            </w:r>
            <w:r>
              <w:rPr>
                <w:rFonts w:hint="default" w:ascii="Arial" w:hAnsi="Arial" w:cs="Arial"/>
                <w:sz w:val="24"/>
                <w:szCs w:val="24"/>
                <w:lang w:val="pt-BR"/>
              </w:rPr>
              <w:t xml:space="preserve"> </w:t>
            </w:r>
            <w:r>
              <w:rPr>
                <w:rFonts w:hint="default" w:ascii="Arial" w:hAnsi="Arial" w:cs="Arial"/>
                <w:sz w:val="24"/>
                <w:szCs w:val="24"/>
              </w:rPr>
              <w:t>com telefones fixos e móveis de pessoas físicas e jurídicas para a polícia militar, incluindo licença de uso e ativação</w:t>
            </w:r>
            <w:r>
              <w:rPr>
                <w:rFonts w:hint="default" w:ascii="Arial" w:hAnsi="Arial" w:cs="Arial"/>
                <w:sz w:val="24"/>
                <w:szCs w:val="24"/>
                <w:lang w:val="pt-BR"/>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Arial" w:hAnsi="Arial" w:cs="Arial"/>
                <w:color w:val="auto"/>
                <w:sz w:val="16"/>
                <w:szCs w:val="16"/>
                <w:lang w:val="pt-BR" w:eastAsia="pt-BR"/>
              </w:rPr>
            </w:pPr>
            <w:r>
              <w:rPr>
                <w:rFonts w:hint="default" w:ascii="Arial" w:hAnsi="Arial" w:cs="Arial"/>
                <w:sz w:val="24"/>
                <w:szCs w:val="24"/>
                <w:lang w:val="pt-BR"/>
              </w:rPr>
              <w:t>Acesso para no mínimo 8 usuários.</w:t>
            </w:r>
          </w:p>
        </w:tc>
        <w:tc>
          <w:tcPr>
            <w:tcW w:w="82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eastAsiaTheme="minorEastAsia"/>
                <w:sz w:val="16"/>
                <w:szCs w:val="16"/>
                <w:lang w:val="pt-BR" w:eastAsia="zh-CN" w:bidi="ar-SA"/>
              </w:rPr>
            </w:pPr>
            <w:r>
              <w:rPr>
                <w:rFonts w:hint="default" w:ascii="Arial" w:hAnsi="Arial" w:cs="Arial"/>
                <w:sz w:val="16"/>
                <w:szCs w:val="16"/>
                <w:lang w:val="pt-BR" w:eastAsia="zh-CN" w:bidi="ar-SA"/>
              </w:rPr>
              <w:t>8.000</w:t>
            </w:r>
          </w:p>
        </w:tc>
        <w:tc>
          <w:tcPr>
            <w:tcW w:w="1312"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16"/>
                <w:szCs w:val="16"/>
                <w:lang w:val="pt-BR"/>
              </w:rPr>
            </w:pPr>
            <w:r>
              <w:rPr>
                <w:rFonts w:hint="default" w:ascii="Arial" w:hAnsi="Arial" w:cs="Arial"/>
                <w:b w:val="0"/>
                <w:bCs/>
                <w:color w:val="auto"/>
                <w:sz w:val="16"/>
                <w:szCs w:val="16"/>
                <w:lang w:val="pt-BR"/>
              </w:rPr>
              <w:t>Consulta</w:t>
            </w:r>
          </w:p>
        </w:tc>
        <w:tc>
          <w:tcPr>
            <w:tcW w:w="1322"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16"/>
                <w:szCs w:val="16"/>
                <w:lang w:val="pt-BR"/>
              </w:rPr>
            </w:pPr>
            <w:r>
              <w:rPr>
                <w:rFonts w:hint="default" w:ascii="Arial" w:hAnsi="Arial" w:cs="Arial"/>
                <w:b w:val="0"/>
                <w:bCs/>
                <w:color w:val="auto"/>
                <w:sz w:val="16"/>
                <w:szCs w:val="16"/>
                <w:lang w:val="pt-BR"/>
              </w:rPr>
              <w:t>R$25,70</w:t>
            </w:r>
          </w:p>
        </w:tc>
        <w:tc>
          <w:tcPr>
            <w:tcW w:w="1753"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16"/>
                <w:szCs w:val="16"/>
                <w:lang w:val="pt-BR"/>
              </w:rPr>
            </w:pPr>
            <w:r>
              <w:rPr>
                <w:rFonts w:hint="default" w:ascii="Arial" w:hAnsi="Arial" w:cs="Arial"/>
                <w:b w:val="0"/>
                <w:bCs/>
                <w:color w:val="auto"/>
                <w:sz w:val="16"/>
                <w:szCs w:val="16"/>
                <w:lang w:val="pt-BR"/>
              </w:rPr>
              <w:t>R$4.163,40</w:t>
            </w:r>
          </w:p>
        </w:tc>
      </w:tr>
    </w:tbl>
    <w:p>
      <w:pPr>
        <w:pStyle w:val="56"/>
        <w:spacing w:after="288" w:afterLines="120" w:line="312" w:lineRule="auto"/>
        <w:ind w:firstLine="709"/>
        <w:rPr>
          <w:sz w:val="24"/>
          <w:szCs w:val="24"/>
          <w:highlight w:val="none"/>
        </w:rPr>
      </w:pPr>
      <w:r>
        <w:rPr>
          <w:rFonts w:hint="default"/>
          <w:sz w:val="24"/>
          <w:szCs w:val="24"/>
          <w:highlight w:val="none"/>
          <w:lang w:val="pt-BR"/>
        </w:rPr>
        <w:t>O objeto desta contratação não se enquadra como sendo de luxo conforme Decreto Municipal n° 6535/2023</w:t>
      </w:r>
    </w:p>
    <w:p>
      <w:pPr>
        <w:pStyle w:val="56"/>
        <w:spacing w:afterLines="120" w:line="312" w:lineRule="auto"/>
        <w:ind w:firstLine="709"/>
        <w:rPr>
          <w:sz w:val="24"/>
          <w:szCs w:val="24"/>
          <w:highlight w:val="none"/>
        </w:rPr>
      </w:pPr>
      <w:r>
        <w:rPr>
          <w:sz w:val="24"/>
          <w:szCs w:val="24"/>
          <w:highlight w:val="none"/>
        </w:rPr>
        <w:t xml:space="preserve">Os </w:t>
      </w:r>
      <w:r>
        <w:rPr>
          <w:rFonts w:hint="default"/>
          <w:sz w:val="24"/>
          <w:szCs w:val="24"/>
          <w:highlight w:val="none"/>
          <w:lang w:val="pt-BR"/>
        </w:rPr>
        <w:t>serviços</w:t>
      </w:r>
      <w:r>
        <w:rPr>
          <w:sz w:val="24"/>
          <w:szCs w:val="24"/>
          <w:highlight w:val="none"/>
        </w:rPr>
        <w:t xml:space="preserve"> objeto desta contratação são caracterizados como comuns, conforme justificativa constante </w:t>
      </w:r>
      <w:r>
        <w:rPr>
          <w:rFonts w:hint="default"/>
          <w:sz w:val="24"/>
          <w:szCs w:val="24"/>
          <w:highlight w:val="none"/>
          <w:lang w:val="pt-BR"/>
        </w:rPr>
        <w:t>do Estudo Técnico Preliminar</w:t>
      </w:r>
      <w:r>
        <w:rPr>
          <w:sz w:val="24"/>
          <w:szCs w:val="24"/>
          <w:highlight w:val="none"/>
        </w:rPr>
        <w:t>.</w:t>
      </w:r>
    </w:p>
    <w:p>
      <w:pPr>
        <w:pStyle w:val="56"/>
        <w:spacing w:afterLines="120" w:line="312" w:lineRule="auto"/>
        <w:ind w:firstLine="709"/>
        <w:rPr>
          <w:sz w:val="24"/>
          <w:szCs w:val="24"/>
          <w:highlight w:val="none"/>
        </w:rPr>
      </w:pPr>
      <w:r>
        <w:rPr>
          <w:sz w:val="24"/>
          <w:szCs w:val="24"/>
          <w:highlight w:val="none"/>
        </w:rPr>
        <w:t>O contrato oferece maior detalhamento das regras que serão aplicadas em relação à vigência da contratação.</w:t>
      </w:r>
    </w:p>
    <w:p>
      <w:pPr>
        <w:pStyle w:val="39"/>
        <w:spacing w:before="120" w:afterLines="120" w:line="312" w:lineRule="auto"/>
        <w:ind w:left="0" w:firstLine="0"/>
        <w:rPr>
          <w:sz w:val="24"/>
          <w:szCs w:val="24"/>
          <w:highlight w:val="none"/>
        </w:rPr>
      </w:pPr>
      <w:r>
        <w:rPr>
          <w:sz w:val="24"/>
          <w:szCs w:val="24"/>
          <w:highlight w:val="none"/>
        </w:rPr>
        <w:t>FUNDAMENTAÇÃO E DESCRIÇÃO DA NECESSIDADE DA CONTRATAÇÃO</w:t>
      </w:r>
    </w:p>
    <w:p>
      <w:pPr>
        <w:pStyle w:val="56"/>
        <w:spacing w:afterLines="120" w:line="312" w:lineRule="auto"/>
        <w:ind w:firstLine="709"/>
        <w:rPr>
          <w:sz w:val="24"/>
          <w:szCs w:val="24"/>
          <w:highlight w:val="none"/>
        </w:rPr>
      </w:pPr>
      <w:permStart w:id="0" w:edGrp="everyone"/>
      <w:r>
        <w:rPr>
          <w:sz w:val="24"/>
          <w:szCs w:val="24"/>
        </w:rPr>
        <w:t>A Fundamentação da Contratação e de seus quantitativos encontra-se pormenorizada em Tópico específico dos Estudos Técnicos Preliminares, apêndice deste Termo de Referência.</w:t>
      </w:r>
    </w:p>
    <w:p>
      <w:pPr>
        <w:pStyle w:val="57"/>
        <w:bidi w:val="0"/>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r>
        <w:rPr>
          <w:rFonts w:hint="default"/>
          <w:color w:val="auto"/>
          <w:sz w:val="24"/>
          <w:szCs w:val="24"/>
          <w:highlight w:val="none"/>
          <w:lang w:val="pt-BR"/>
        </w:rPr>
        <w:t xml:space="preserve"> Os ítens a serem  adquiridos enquadram-se em </w:t>
      </w:r>
      <w:r>
        <w:rPr>
          <w:rFonts w:hint="default" w:ascii="Arial" w:hAnsi="Arial" w:cs="Arial"/>
          <w:i w:val="0"/>
          <w:iCs w:val="0"/>
          <w:color w:val="000000"/>
          <w:sz w:val="24"/>
          <w:szCs w:val="24"/>
          <w:u w:val="none"/>
          <w:shd w:val="clear" w:fill="FFFFFF"/>
          <w:vertAlign w:val="baseline"/>
          <w:lang w:val="pt-BR"/>
        </w:rPr>
        <w:t>Equipamentos de Processamento de Dados</w:t>
      </w:r>
    </w:p>
    <w:permEnd w:id="0"/>
    <w:p>
      <w:pPr>
        <w:pStyle w:val="39"/>
        <w:spacing w:before="120" w:afterLines="120" w:line="312" w:lineRule="auto"/>
        <w:ind w:left="0" w:firstLine="0"/>
        <w:rPr>
          <w:sz w:val="24"/>
          <w:szCs w:val="24"/>
          <w:highlight w:val="none"/>
        </w:rPr>
      </w:pPr>
      <w:r>
        <w:rPr>
          <w:sz w:val="24"/>
          <w:szCs w:val="24"/>
          <w:highlight w:val="none"/>
        </w:rPr>
        <w:t>DESCRIÇÃO DA SOLUÇÃO COMO UM TODO CONSIDERADO O CICLO DE VIDA DO OBJETO E ESPECIFICAÇÃO DO PRODUTO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A descrição da solução como um todo encontra-se pormenorizada em tópico específico</w:t>
      </w:r>
      <w:r>
        <w:rPr>
          <w:i w:val="0"/>
          <w:iCs w:val="0"/>
          <w:color w:val="auto"/>
          <w:sz w:val="24"/>
          <w:szCs w:val="24"/>
        </w:rPr>
        <w:t xml:space="preserve"> dos Estudos Técnicos Preliminares</w:t>
      </w:r>
      <w:r>
        <w:rPr>
          <w:rFonts w:hint="default"/>
          <w:i w:val="0"/>
          <w:iCs w:val="0"/>
          <w:color w:val="auto"/>
          <w:sz w:val="24"/>
          <w:szCs w:val="24"/>
          <w:highlight w:val="none"/>
          <w:lang w:val="pt-BR"/>
        </w:rPr>
        <w:t>,</w:t>
      </w:r>
      <w:r>
        <w:rPr>
          <w:i w:val="0"/>
          <w:iCs w:val="0"/>
          <w:color w:val="auto"/>
          <w:sz w:val="24"/>
          <w:szCs w:val="24"/>
          <w:highlight w:val="none"/>
        </w:rPr>
        <w:t xml:space="preserve"> apêndice deste Termo de Referência</w:t>
      </w:r>
      <w:r>
        <w:rPr>
          <w:rFonts w:hint="default"/>
          <w:i w:val="0"/>
          <w:iCs w:val="0"/>
          <w:color w:val="auto"/>
          <w:sz w:val="24"/>
          <w:szCs w:val="24"/>
          <w:highlight w:val="none"/>
          <w:lang w:val="pt-BR"/>
        </w:rPr>
        <w:t>.</w:t>
      </w:r>
    </w:p>
    <w:p>
      <w:pPr>
        <w:pStyle w:val="39"/>
        <w:spacing w:before="120" w:afterLines="120" w:line="312" w:lineRule="auto"/>
        <w:rPr>
          <w:sz w:val="24"/>
          <w:szCs w:val="24"/>
          <w:highlight w:val="none"/>
        </w:rPr>
      </w:pPr>
      <w:r>
        <w:rPr>
          <w:sz w:val="24"/>
          <w:szCs w:val="24"/>
          <w:highlight w:val="none"/>
        </w:rPr>
        <w:t>REQUISITOS DA CONTRATAÇÃO</w:t>
      </w:r>
    </w:p>
    <w:p>
      <w:pPr>
        <w:pStyle w:val="109"/>
        <w:spacing w:before="120" w:after="288" w:afterLines="120" w:line="312" w:lineRule="auto"/>
        <w:ind w:left="0"/>
        <w:rPr>
          <w:color w:val="auto"/>
          <w:sz w:val="24"/>
          <w:szCs w:val="24"/>
          <w:highlight w:val="none"/>
        </w:rPr>
      </w:pPr>
      <w:r>
        <w:rPr>
          <w:color w:val="auto"/>
          <w:sz w:val="24"/>
          <w:szCs w:val="24"/>
          <w:highlight w:val="none"/>
        </w:rPr>
        <w:t>Subcontratação</w:t>
      </w:r>
    </w:p>
    <w:p>
      <w:pPr>
        <w:pStyle w:val="56"/>
        <w:spacing w:after="288" w:afterLines="120" w:line="312" w:lineRule="auto"/>
        <w:ind w:left="251" w:leftChars="0" w:firstLine="709" w:firstLineChars="0"/>
        <w:rPr>
          <w:color w:val="auto"/>
          <w:sz w:val="24"/>
          <w:szCs w:val="24"/>
          <w:highlight w:val="none"/>
        </w:rPr>
      </w:pPr>
      <w:r>
        <w:rPr>
          <w:color w:val="auto"/>
          <w:sz w:val="24"/>
          <w:szCs w:val="24"/>
          <w:highlight w:val="none"/>
        </w:rPr>
        <w:t>Não é admitida a subcontratação do objeto contratual.</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i w:val="0"/>
          <w:iCs w:val="0"/>
          <w:color w:val="auto"/>
          <w:sz w:val="24"/>
          <w:szCs w:val="24"/>
          <w:highlight w:val="none"/>
        </w:rPr>
        <w:t>, pelas razões constantes do Estudo Técnico Preliminar.</w:t>
      </w:r>
    </w:p>
    <w:p>
      <w:pPr>
        <w:rPr>
          <w:color w:val="auto"/>
          <w:sz w:val="24"/>
          <w:szCs w:val="24"/>
          <w:highlight w:val="none"/>
        </w:rPr>
      </w:pPr>
    </w:p>
    <w:p>
      <w:pPr>
        <w:pStyle w:val="39"/>
        <w:spacing w:before="120" w:afterLines="120" w:line="312" w:lineRule="auto"/>
        <w:rPr>
          <w:sz w:val="24"/>
          <w:szCs w:val="24"/>
          <w:highlight w:val="none"/>
        </w:rPr>
      </w:pPr>
      <w:r>
        <w:rPr>
          <w:sz w:val="24"/>
          <w:szCs w:val="24"/>
          <w:highlight w:val="none"/>
        </w:rPr>
        <w:t>MODELO DE EXECUÇÃO DO OBJETO</w:t>
      </w:r>
    </w:p>
    <w:p>
      <w:pPr>
        <w:pStyle w:val="109"/>
        <w:spacing w:before="120" w:after="288" w:afterLines="120" w:line="312" w:lineRule="auto"/>
        <w:rPr>
          <w:color w:val="000000" w:themeColor="text1"/>
          <w:sz w:val="24"/>
          <w:szCs w:val="24"/>
          <w:highlight w:val="yellow"/>
          <w14:textFill>
            <w14:solidFill>
              <w14:schemeClr w14:val="tx1"/>
            </w14:solidFill>
          </w14:textFill>
        </w:rPr>
      </w:pPr>
      <w:r>
        <w:rPr>
          <w:color w:val="000000" w:themeColor="text1"/>
          <w:sz w:val="24"/>
          <w:szCs w:val="24"/>
          <w:highlight w:val="yellow"/>
          <w14:textFill>
            <w14:solidFill>
              <w14:schemeClr w14:val="tx1"/>
            </w14:solidFill>
          </w14:textFill>
        </w:rPr>
        <w:t>Condições de Entrega</w:t>
      </w:r>
    </w:p>
    <w:p>
      <w:pPr>
        <w:pStyle w:val="103"/>
        <w:spacing w:after="288" w:afterLines="120" w:line="312" w:lineRule="auto"/>
        <w:ind w:left="251" w:leftChars="0" w:firstLine="709" w:firstLineChars="0"/>
        <w:rPr>
          <w:rFonts w:hint="default"/>
          <w:i w:val="0"/>
          <w:iCs w:val="0"/>
          <w:color w:val="auto"/>
          <w:sz w:val="24"/>
          <w:szCs w:val="24"/>
          <w:highlight w:val="yellow"/>
          <w:lang w:val="en-US"/>
        </w:rPr>
      </w:pPr>
      <w:r>
        <w:rPr>
          <w:i w:val="0"/>
          <w:iCs w:val="0"/>
          <w:color w:val="auto"/>
          <w:sz w:val="24"/>
          <w:szCs w:val="24"/>
          <w:highlight w:val="yellow"/>
        </w:rPr>
        <w:t xml:space="preserve">O prazo de </w:t>
      </w:r>
      <w:r>
        <w:rPr>
          <w:rFonts w:hint="default"/>
          <w:i w:val="0"/>
          <w:iCs w:val="0"/>
          <w:color w:val="auto"/>
          <w:sz w:val="24"/>
          <w:szCs w:val="24"/>
          <w:highlight w:val="yellow"/>
          <w:lang w:val="pt-BR"/>
        </w:rPr>
        <w:t>início da prestação do serviço será após assinatura do contrato</w:t>
      </w:r>
    </w:p>
    <w:p>
      <w:pPr>
        <w:pStyle w:val="109"/>
        <w:spacing w:before="120" w:after="288" w:afterLines="120" w:line="312" w:lineRule="auto"/>
        <w:rPr>
          <w:color w:val="auto"/>
          <w:sz w:val="24"/>
          <w:szCs w:val="24"/>
          <w:highlight w:val="yellow"/>
        </w:rPr>
      </w:pPr>
      <w:r>
        <w:rPr>
          <w:color w:val="auto"/>
          <w:sz w:val="24"/>
          <w:szCs w:val="24"/>
          <w:highlight w:val="yellow"/>
        </w:rPr>
        <w:t xml:space="preserve">Garantia, manutenção e assistência técnica </w:t>
      </w:r>
    </w:p>
    <w:p>
      <w:pPr>
        <w:pStyle w:val="56"/>
        <w:spacing w:after="288" w:afterLines="120" w:line="312" w:lineRule="auto"/>
        <w:ind w:left="251" w:leftChars="0" w:firstLineChars="0"/>
        <w:rPr>
          <w:sz w:val="24"/>
          <w:szCs w:val="24"/>
          <w:highlight w:val="yellow"/>
        </w:rPr>
      </w:pPr>
      <w:r>
        <w:rPr>
          <w:sz w:val="24"/>
          <w:szCs w:val="24"/>
          <w:highlight w:val="yellow"/>
        </w:rPr>
        <w:t xml:space="preserve">O prazo de garantia é aquele estabelecido na Lei nº 8.078, de 11 de setembro de 1990 (Código de Defesa do Consumidor)  </w:t>
      </w:r>
    </w:p>
    <w:p>
      <w:pPr>
        <w:pStyle w:val="109"/>
        <w:spacing w:before="120" w:after="288" w:afterLines="120" w:line="312" w:lineRule="auto"/>
        <w:rPr>
          <w:rFonts w:hint="default"/>
          <w:color w:val="000000" w:themeColor="text1"/>
          <w:sz w:val="24"/>
          <w:szCs w:val="24"/>
          <w:highlight w:val="yellow"/>
          <w:lang w:val="pt-BR"/>
          <w14:textFill>
            <w14:solidFill>
              <w14:schemeClr w14:val="tx1"/>
            </w14:solidFill>
          </w14:textFill>
        </w:rPr>
      </w:pPr>
      <w:r>
        <w:rPr>
          <w:color w:val="000000" w:themeColor="text1"/>
          <w:sz w:val="24"/>
          <w:szCs w:val="24"/>
          <w:highlight w:val="yellow"/>
          <w14:textFill>
            <w14:solidFill>
              <w14:schemeClr w14:val="tx1"/>
            </w14:solidFill>
          </w14:textFill>
        </w:rPr>
        <w:t xml:space="preserve">Condições de </w:t>
      </w:r>
      <w:r>
        <w:rPr>
          <w:rFonts w:hint="default"/>
          <w:color w:val="000000" w:themeColor="text1"/>
          <w:sz w:val="24"/>
          <w:szCs w:val="24"/>
          <w:highlight w:val="yellow"/>
          <w:lang w:val="pt-BR"/>
          <w14:textFill>
            <w14:solidFill>
              <w14:schemeClr w14:val="tx1"/>
            </w14:solidFill>
          </w14:textFill>
        </w:rPr>
        <w:t>S</w:t>
      </w:r>
      <w:r>
        <w:rPr>
          <w:color w:val="000000" w:themeColor="text1"/>
          <w:sz w:val="24"/>
          <w:szCs w:val="24"/>
          <w:highlight w:val="yellow"/>
          <w14:textFill>
            <w14:solidFill>
              <w14:schemeClr w14:val="tx1"/>
            </w14:solidFill>
          </w14:textFill>
        </w:rPr>
        <w:t>erviços</w:t>
      </w:r>
      <w:r>
        <w:rPr>
          <w:rFonts w:hint="default"/>
          <w:color w:val="000000" w:themeColor="text1"/>
          <w:sz w:val="24"/>
          <w:szCs w:val="24"/>
          <w:highlight w:val="yellow"/>
          <w:lang w:val="pt-BR"/>
          <w14:textFill>
            <w14:solidFill>
              <w14:schemeClr w14:val="tx1"/>
            </w14:solidFill>
          </w14:textFill>
        </w:rPr>
        <w:t xml:space="preserve"> e Horário de Funcionamento </w:t>
      </w:r>
    </w:p>
    <w:p>
      <w:pPr>
        <w:pStyle w:val="103"/>
        <w:spacing w:after="288" w:afterLines="120" w:line="312" w:lineRule="auto"/>
        <w:ind w:left="251" w:leftChars="0" w:firstLine="709" w:firstLineChars="0"/>
        <w:rPr>
          <w:i w:val="0"/>
          <w:iCs w:val="0"/>
          <w:color w:val="auto"/>
          <w:sz w:val="24"/>
          <w:szCs w:val="24"/>
          <w:highlight w:val="yellow"/>
        </w:rPr>
      </w:pPr>
      <w:r>
        <w:rPr>
          <w:i w:val="0"/>
          <w:iCs w:val="0"/>
          <w:color w:val="auto"/>
          <w:sz w:val="24"/>
          <w:szCs w:val="24"/>
          <w:highlight w:val="yellow"/>
        </w:rPr>
        <w:t xml:space="preserve">O prazo de execução do serviço é de </w:t>
      </w:r>
      <w:r>
        <w:rPr>
          <w:rFonts w:hint="default"/>
          <w:i w:val="0"/>
          <w:iCs w:val="0"/>
          <w:color w:val="auto"/>
          <w:sz w:val="24"/>
          <w:szCs w:val="24"/>
          <w:highlight w:val="yellow"/>
          <w:lang w:val="pt-BR"/>
        </w:rPr>
        <w:t>12 (doze) meses</w:t>
      </w:r>
      <w:r>
        <w:rPr>
          <w:i w:val="0"/>
          <w:iCs w:val="0"/>
          <w:color w:val="auto"/>
          <w:sz w:val="24"/>
          <w:szCs w:val="24"/>
          <w:highlight w:val="yellow"/>
        </w:rPr>
        <w:t>, contados d</w:t>
      </w:r>
      <w:r>
        <w:rPr>
          <w:rFonts w:hint="default"/>
          <w:i w:val="0"/>
          <w:iCs w:val="0"/>
          <w:color w:val="auto"/>
          <w:sz w:val="24"/>
          <w:szCs w:val="24"/>
          <w:highlight w:val="yellow"/>
          <w:lang w:val="pt-BR"/>
        </w:rPr>
        <w:t>a data prevista na ordem de serviço.</w:t>
      </w:r>
    </w:p>
    <w:p>
      <w:pPr>
        <w:pStyle w:val="103"/>
        <w:spacing w:after="288" w:afterLines="120" w:line="312" w:lineRule="auto"/>
        <w:ind w:left="251" w:leftChars="0" w:firstLine="709" w:firstLineChars="0"/>
        <w:rPr>
          <w:i w:val="0"/>
          <w:iCs w:val="0"/>
          <w:color w:val="auto"/>
          <w:sz w:val="24"/>
          <w:szCs w:val="24"/>
          <w:highlight w:val="yellow"/>
        </w:rPr>
      </w:pPr>
      <w:r>
        <w:rPr>
          <w:i w:val="0"/>
          <w:iCs w:val="0"/>
          <w:color w:val="auto"/>
          <w:sz w:val="24"/>
          <w:szCs w:val="24"/>
          <w:highlight w:val="yellow"/>
        </w:rPr>
        <w:t>O suporte  deverá ser em horário comercial de segunda a sexta-feira</w:t>
      </w:r>
      <w:r>
        <w:rPr>
          <w:rFonts w:hint="default"/>
          <w:i w:val="0"/>
          <w:iCs w:val="0"/>
          <w:color w:val="auto"/>
          <w:sz w:val="24"/>
          <w:szCs w:val="24"/>
          <w:highlight w:val="yellow"/>
          <w:lang w:val="pt-BR"/>
        </w:rPr>
        <w:t>.</w:t>
      </w:r>
    </w:p>
    <w:p>
      <w:pPr>
        <w:pStyle w:val="103"/>
        <w:spacing w:after="288" w:afterLines="120" w:line="312" w:lineRule="auto"/>
        <w:ind w:left="25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Os acessos</w:t>
      </w:r>
      <w:r>
        <w:rPr>
          <w:i w:val="0"/>
          <w:iCs w:val="0"/>
          <w:color w:val="auto"/>
          <w:sz w:val="24"/>
          <w:szCs w:val="24"/>
          <w:highlight w:val="yellow"/>
        </w:rPr>
        <w:t xml:space="preserve"> deverão estar disponíveis no site para acesso sempre que necessário</w:t>
      </w:r>
      <w:r>
        <w:rPr>
          <w:rFonts w:hint="default"/>
          <w:i w:val="0"/>
          <w:iCs w:val="0"/>
          <w:color w:val="auto"/>
          <w:sz w:val="24"/>
          <w:szCs w:val="24"/>
          <w:highlight w:val="yellow"/>
          <w:lang w:val="pt-BR"/>
        </w:rPr>
        <w:t>.</w:t>
      </w:r>
    </w:p>
    <w:p>
      <w:pPr>
        <w:pStyle w:val="103"/>
        <w:spacing w:after="288" w:afterLines="120" w:line="312" w:lineRule="auto"/>
        <w:ind w:left="25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Deverá haver acesso para no mínimo 8 usuários e até 8.000 consultas.</w:t>
      </w:r>
    </w:p>
    <w:p>
      <w:pPr>
        <w:pStyle w:val="103"/>
        <w:spacing w:after="288" w:afterLines="120" w:line="312" w:lineRule="auto"/>
        <w:ind w:left="25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Devem ser permitidos:</w:t>
      </w:r>
    </w:p>
    <w:p>
      <w:pPr>
        <w:pStyle w:val="103"/>
        <w:numPr>
          <w:ilvl w:val="0"/>
          <w:numId w:val="4"/>
        </w:numPr>
        <w:spacing w:after="288" w:afterLines="120" w:line="312" w:lineRule="auto"/>
        <w:rPr>
          <w:rFonts w:hint="default"/>
          <w:i w:val="0"/>
          <w:iCs w:val="0"/>
          <w:color w:val="auto"/>
          <w:sz w:val="24"/>
          <w:szCs w:val="24"/>
          <w:highlight w:val="yellow"/>
          <w:lang w:val="pt-BR"/>
        </w:rPr>
      </w:pPr>
      <w:r>
        <w:rPr>
          <w:rFonts w:hint="default"/>
          <w:i w:val="0"/>
          <w:iCs w:val="0"/>
          <w:color w:val="auto"/>
          <w:sz w:val="24"/>
          <w:szCs w:val="24"/>
          <w:highlight w:val="yellow"/>
          <w:lang w:val="pt-BR"/>
        </w:rPr>
        <w:t>Acesso on-line por via web e dispositivo móvel;</w:t>
      </w:r>
    </w:p>
    <w:p>
      <w:pPr>
        <w:pStyle w:val="103"/>
        <w:numPr>
          <w:ilvl w:val="0"/>
          <w:numId w:val="4"/>
        </w:numPr>
        <w:spacing w:after="288" w:afterLines="120" w:line="312" w:lineRule="auto"/>
        <w:ind w:left="0" w:leftChars="0" w:firstLine="0"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Facilidade de uso e navegação;</w:t>
      </w:r>
    </w:p>
    <w:p>
      <w:pPr>
        <w:pStyle w:val="103"/>
        <w:numPr>
          <w:ilvl w:val="0"/>
          <w:numId w:val="4"/>
        </w:numPr>
        <w:spacing w:after="288" w:afterLines="120" w:line="312" w:lineRule="auto"/>
        <w:ind w:left="0" w:leftChars="0" w:firstLine="0"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Atualização permanente (durante a vigência do contrato);</w:t>
      </w:r>
    </w:p>
    <w:p>
      <w:pPr>
        <w:pStyle w:val="103"/>
        <w:numPr>
          <w:ilvl w:val="0"/>
          <w:numId w:val="4"/>
        </w:numPr>
        <w:spacing w:after="288" w:afterLines="120" w:line="312" w:lineRule="auto"/>
        <w:ind w:left="0" w:leftChars="0" w:firstLine="0"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Ferramenta de busca inteligente.</w:t>
      </w:r>
    </w:p>
    <w:p>
      <w:pPr>
        <w:pStyle w:val="103"/>
        <w:spacing w:after="288" w:afterLines="120" w:line="312" w:lineRule="auto"/>
        <w:ind w:left="251" w:leftChars="0" w:firstLine="709" w:firstLineChars="0"/>
        <w:rPr>
          <w:i w:val="0"/>
          <w:iCs w:val="0"/>
          <w:color w:val="auto"/>
          <w:sz w:val="24"/>
          <w:szCs w:val="24"/>
          <w:highlight w:val="yellow"/>
        </w:rPr>
      </w:pPr>
      <w:r>
        <w:rPr>
          <w:rFonts w:hint="default"/>
          <w:i w:val="0"/>
          <w:iCs w:val="0"/>
          <w:color w:val="auto"/>
          <w:sz w:val="24"/>
          <w:szCs w:val="24"/>
          <w:highlight w:val="yellow"/>
          <w:lang w:val="en-US" w:eastAsia="pt-BR"/>
        </w:rPr>
        <w:t>É obrigatório entregar a Nota Fiscal onde foi prestado o serviço. Não serão aceitas Notas Fiscais por email para fim de recebimento.</w:t>
      </w:r>
    </w:p>
    <w:p>
      <w:pPr>
        <w:rPr>
          <w:sz w:val="24"/>
          <w:szCs w:val="24"/>
          <w:highlight w:val="none"/>
        </w:rPr>
      </w:pPr>
    </w:p>
    <w:p>
      <w:pPr>
        <w:rPr>
          <w:sz w:val="24"/>
          <w:szCs w:val="24"/>
          <w:highlight w:val="none"/>
        </w:rPr>
      </w:pPr>
    </w:p>
    <w:p>
      <w:pPr>
        <w:pStyle w:val="39"/>
        <w:spacing w:before="120" w:afterLines="120" w:line="312" w:lineRule="auto"/>
        <w:rPr>
          <w:sz w:val="24"/>
          <w:szCs w:val="24"/>
        </w:rPr>
      </w:pPr>
      <w:r>
        <w:rPr>
          <w:sz w:val="24"/>
          <w:szCs w:val="24"/>
          <w:highlight w:val="none"/>
        </w:rPr>
        <w:t>MODEL</w:t>
      </w:r>
      <w:r>
        <w:rPr>
          <w:sz w:val="24"/>
          <w:szCs w:val="24"/>
        </w:rPr>
        <w:t>O DE GESTÃO DO CONTRATO</w:t>
      </w:r>
      <w:r>
        <w:rPr>
          <w:rFonts w:hint="default"/>
          <w:sz w:val="24"/>
          <w:szCs w:val="24"/>
          <w:lang w:val="pt-BR"/>
        </w:rPr>
        <w:t>/EMPENHO</w:t>
      </w:r>
    </w:p>
    <w:p>
      <w:pPr>
        <w:pStyle w:val="56"/>
        <w:spacing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w:t>
      </w:r>
      <w:r>
        <w:rPr>
          <w:rFonts w:hint="default"/>
          <w:sz w:val="24"/>
          <w:szCs w:val="24"/>
          <w:lang w:val="pt-BR"/>
        </w:rPr>
        <w:t xml:space="preserve">a </w:t>
      </w:r>
      <w:r>
        <w:rPr>
          <w:sz w:val="24"/>
          <w:szCs w:val="24"/>
        </w:rPr>
        <w:t>servidor</w:t>
      </w:r>
      <w:r>
        <w:rPr>
          <w:rFonts w:hint="default"/>
          <w:sz w:val="24"/>
          <w:szCs w:val="24"/>
          <w:lang w:val="pt-BR"/>
        </w:rPr>
        <w:t>a Raíssa Pérsia  de Moreira, MASP 66605/2</w:t>
      </w:r>
      <w:r>
        <w:rPr>
          <w:rFonts w:hint="default" w:cs="Arial"/>
          <w:i w:val="0"/>
          <w:iCs w:val="0"/>
          <w:color w:val="000000"/>
          <w:sz w:val="24"/>
          <w:szCs w:val="24"/>
          <w:u w:val="none"/>
          <w:vertAlign w:val="baseline"/>
          <w:lang w:val="pt-BR"/>
        </w:rPr>
        <w:t xml:space="preserve"> </w:t>
      </w:r>
      <w:r>
        <w:rPr>
          <w:rFonts w:hint="default"/>
          <w:sz w:val="24"/>
          <w:szCs w:val="24"/>
          <w:lang w:val="pt-BR"/>
        </w:rPr>
        <w:t>p</w:t>
      </w:r>
      <w:r>
        <w:rPr>
          <w:sz w:val="24"/>
          <w:szCs w:val="24"/>
        </w:rPr>
        <w:t>ara atuar como fiscal do contrato e o servidor</w:t>
      </w:r>
      <w:permStart w:id="1" w:edGrp="everyone"/>
      <w:r>
        <w:rPr>
          <w:rFonts w:hint="default"/>
          <w:sz w:val="24"/>
          <w:szCs w:val="24"/>
          <w:lang w:val="pt-BR"/>
        </w:rPr>
        <w:t xml:space="preserve"> Sr.Kledson Luiz de Souza </w:t>
      </w:r>
      <w:r>
        <w:rPr>
          <w:rFonts w:hint="default" w:ascii="Arial" w:hAnsi="Arial" w:cs="Arial"/>
          <w:i w:val="0"/>
          <w:iCs w:val="0"/>
          <w:color w:val="000000"/>
          <w:sz w:val="24"/>
          <w:szCs w:val="24"/>
          <w:u w:val="none"/>
          <w:vertAlign w:val="baseline"/>
          <w:lang w:val="pt-BR"/>
        </w:rPr>
        <w:t xml:space="preserve">MASP: </w:t>
      </w:r>
      <w:r>
        <w:rPr>
          <w:rFonts w:hint="default" w:cs="Arial"/>
          <w:i w:val="0"/>
          <w:iCs w:val="0"/>
          <w:color w:val="000000"/>
          <w:sz w:val="24"/>
          <w:szCs w:val="24"/>
          <w:u w:val="none"/>
          <w:vertAlign w:val="baseline"/>
          <w:lang w:val="pt-BR"/>
        </w:rPr>
        <w:t>6918/3</w:t>
      </w:r>
      <w:r>
        <w:rPr>
          <w:rFonts w:hint="default" w:ascii="Arial" w:hAnsi="Arial" w:cs="Arial"/>
          <w:i w:val="0"/>
          <w:iCs w:val="0"/>
          <w:color w:val="000000"/>
          <w:sz w:val="24"/>
          <w:szCs w:val="24"/>
          <w:u w:val="none"/>
          <w:vertAlign w:val="baseline"/>
          <w:lang w:val="pt-BR"/>
        </w:rPr>
        <w:t>0</w:t>
      </w:r>
      <w:r>
        <w:rPr>
          <w:sz w:val="24"/>
          <w:szCs w:val="24"/>
        </w:rPr>
        <w:t xml:space="preserve"> </w:t>
      </w:r>
      <w:permEnd w:id="1"/>
      <w:r>
        <w:rPr>
          <w:sz w:val="24"/>
          <w:szCs w:val="24"/>
        </w:rPr>
        <w:t>para atuar como gestor do contrato.</w:t>
      </w:r>
    </w:p>
    <w:p>
      <w:pPr>
        <w:pStyle w:val="56"/>
        <w:spacing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rPr>
      </w:pPr>
      <w:r>
        <w:rPr>
          <w:sz w:val="24"/>
          <w:szCs w:val="24"/>
        </w:rPr>
        <w:t>CRITÉRIOS DE MEDIÇÃO E DE PAGAMENTO</w:t>
      </w:r>
    </w:p>
    <w:p>
      <w:pPr>
        <w:pStyle w:val="109"/>
        <w:spacing w:before="120" w:afterLines="120" w:line="312" w:lineRule="auto"/>
        <w:rPr>
          <w:color w:val="auto"/>
          <w:sz w:val="24"/>
          <w:szCs w:val="24"/>
          <w:lang w:eastAsia="en-US"/>
        </w:rPr>
      </w:pPr>
      <w:r>
        <w:rPr>
          <w:color w:val="auto"/>
          <w:sz w:val="24"/>
          <w:szCs w:val="24"/>
          <w:lang w:eastAsia="en-US"/>
        </w:rPr>
        <w:t>Recebimento do Objeto</w:t>
      </w:r>
    </w:p>
    <w:p>
      <w:pPr>
        <w:pStyle w:val="56"/>
        <w:spacing w:afterLines="120" w:line="312" w:lineRule="auto"/>
        <w:ind w:firstLine="709"/>
        <w:rPr>
          <w:sz w:val="24"/>
          <w:szCs w:val="24"/>
          <w:lang w:eastAsia="en-US"/>
        </w:rPr>
      </w:pPr>
      <w:r>
        <w:rPr>
          <w:sz w:val="24"/>
          <w:szCs w:val="24"/>
          <w:lang w:eastAsia="en-US"/>
        </w:rPr>
        <w:t xml:space="preserve">Os </w:t>
      </w:r>
      <w:r>
        <w:rPr>
          <w:rFonts w:hint="default"/>
          <w:sz w:val="24"/>
          <w:szCs w:val="24"/>
          <w:lang w:val="pt-BR" w:eastAsia="en-US"/>
        </w:rPr>
        <w:t>serviços serão executados</w:t>
      </w:r>
      <w:r>
        <w:rPr>
          <w:sz w:val="24"/>
          <w:szCs w:val="24"/>
          <w:lang w:eastAsia="en-US"/>
        </w:rPr>
        <w:t xml:space="preserve">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lang w:eastAsia="en-US"/>
        </w:rPr>
        <w:t xml:space="preserve"> </w:t>
      </w:r>
      <w:r>
        <w:rPr>
          <w:sz w:val="24"/>
          <w:szCs w:val="24"/>
          <w:lang w:eastAsia="en-US"/>
        </w:rPr>
        <w:t>e na proposta.</w:t>
      </w:r>
    </w:p>
    <w:p>
      <w:pPr>
        <w:pStyle w:val="56"/>
        <w:spacing w:afterLines="120" w:line="312" w:lineRule="auto"/>
        <w:ind w:firstLine="709"/>
        <w:rPr>
          <w:sz w:val="24"/>
          <w:szCs w:val="24"/>
          <w:lang w:eastAsia="en-US"/>
        </w:rPr>
      </w:pPr>
      <w:r>
        <w:rPr>
          <w:sz w:val="24"/>
          <w:szCs w:val="24"/>
          <w:lang w:eastAsia="en-US"/>
        </w:rPr>
        <w:t xml:space="preserve">Os </w:t>
      </w:r>
      <w:r>
        <w:rPr>
          <w:rFonts w:hint="default"/>
          <w:sz w:val="24"/>
          <w:szCs w:val="24"/>
          <w:lang w:val="pt-BR" w:eastAsia="en-US"/>
        </w:rPr>
        <w:t>serviços</w:t>
      </w:r>
      <w:r>
        <w:rPr>
          <w:sz w:val="24"/>
          <w:szCs w:val="24"/>
          <w:lang w:eastAsia="en-US"/>
        </w:rPr>
        <w:t xml:space="preserve"> poderão ser rejeitados, no todo ou em parte, quando em desacordo com as especificações constantes no Termo de Referência</w:t>
      </w:r>
      <w:r>
        <w:rPr>
          <w:color w:val="FF0000"/>
          <w:sz w:val="24"/>
          <w:szCs w:val="24"/>
          <w:lang w:eastAsia="en-US"/>
        </w:rPr>
        <w:t xml:space="preserve"> </w:t>
      </w:r>
      <w:r>
        <w:rPr>
          <w:sz w:val="24"/>
          <w:szCs w:val="24"/>
          <w:lang w:eastAsia="en-US"/>
        </w:rPr>
        <w:t xml:space="preserve">e na proposta, devendo ser substituídos no prazo </w:t>
      </w:r>
      <w:permStart w:id="2" w:edGrp="everyone"/>
      <w:r>
        <w:rPr>
          <w:color w:val="auto"/>
          <w:sz w:val="24"/>
          <w:szCs w:val="24"/>
          <w:lang w:eastAsia="en-US"/>
        </w:rPr>
        <w:t>de</w:t>
      </w:r>
      <w:r>
        <w:rPr>
          <w:rFonts w:hint="default"/>
          <w:color w:val="auto"/>
          <w:sz w:val="24"/>
          <w:szCs w:val="24"/>
          <w:lang w:val="pt-BR" w:eastAsia="en-US"/>
        </w:rPr>
        <w:t xml:space="preserve"> 03 (três)</w:t>
      </w:r>
      <w:r>
        <w:rPr>
          <w:color w:val="auto"/>
          <w:sz w:val="24"/>
          <w:szCs w:val="24"/>
          <w:lang w:eastAsia="en-US"/>
        </w:rPr>
        <w:t xml:space="preserve"> </w:t>
      </w:r>
      <w:permEnd w:id="2"/>
      <w:r>
        <w:rPr>
          <w:color w:val="auto"/>
          <w:sz w:val="24"/>
          <w:szCs w:val="24"/>
          <w:lang w:eastAsia="en-US"/>
        </w:rPr>
        <w:t>dias</w:t>
      </w:r>
      <w:r>
        <w:rPr>
          <w:sz w:val="24"/>
          <w:szCs w:val="24"/>
          <w:lang w:eastAsia="en-US"/>
        </w:rPr>
        <w:t>, a contar da notificação da contratada, às suas custas, sem prejuízo da aplicação das penalidades.</w:t>
      </w:r>
    </w:p>
    <w:p>
      <w:pPr>
        <w:pStyle w:val="56"/>
        <w:spacing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firstLine="709"/>
        <w:rPr>
          <w:sz w:val="24"/>
          <w:szCs w:val="24"/>
          <w:lang w:eastAsia="en-US"/>
        </w:rPr>
      </w:pPr>
      <w:r>
        <w:rPr>
          <w:sz w:val="24"/>
          <w:szCs w:val="24"/>
          <w:lang w:eastAsia="en-US"/>
        </w:rPr>
        <w:t>O recebimento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lang w:eastAsia="en-US"/>
        </w:rPr>
      </w:pPr>
      <w:r>
        <w:rPr>
          <w:color w:val="auto"/>
          <w:sz w:val="24"/>
          <w:szCs w:val="24"/>
          <w:lang w:eastAsia="en-US"/>
        </w:rPr>
        <w:t>Liquidação</w:t>
      </w:r>
    </w:p>
    <w:p>
      <w:pPr>
        <w:pStyle w:val="56"/>
        <w:spacing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r>
        <w:rPr>
          <w:sz w:val="24"/>
          <w:szCs w:val="24"/>
          <w:lang w:eastAsia="en-US"/>
        </w:rPr>
        <w:t xml:space="preserve"> </w:t>
      </w:r>
    </w:p>
    <w:p>
      <w:pPr>
        <w:pStyle w:val="56"/>
        <w:spacing w:afterLines="120" w:line="312" w:lineRule="auto"/>
        <w:ind w:firstLine="709"/>
        <w:rPr>
          <w:sz w:val="24"/>
          <w:szCs w:val="24"/>
          <w:lang w:eastAsia="en-US"/>
        </w:rPr>
      </w:pPr>
      <w:r>
        <w:rPr>
          <w:sz w:val="24"/>
          <w:szCs w:val="24"/>
          <w:lang w:eastAsia="en-US"/>
        </w:rPr>
        <w:t xml:space="preserve">Constatando-se a situação de irregularidade do contratado, será providenciada sua notificação, por escrito, para que, no prazo de </w:t>
      </w:r>
      <w:r>
        <w:rPr>
          <w:rFonts w:hint="default"/>
          <w:sz w:val="24"/>
          <w:szCs w:val="24"/>
          <w:lang w:val="pt-BR" w:eastAsia="en-US"/>
        </w:rPr>
        <w:t>03</w:t>
      </w:r>
      <w:r>
        <w:rPr>
          <w:sz w:val="24"/>
          <w:szCs w:val="24"/>
          <w:lang w:eastAsia="en-US"/>
        </w:rPr>
        <w:t xml:space="preserve"> (</w:t>
      </w:r>
      <w:r>
        <w:rPr>
          <w:rFonts w:hint="default"/>
          <w:sz w:val="24"/>
          <w:szCs w:val="24"/>
          <w:lang w:val="pt-BR" w:eastAsia="en-US"/>
        </w:rPr>
        <w:t>três</w:t>
      </w:r>
      <w:r>
        <w:rPr>
          <w:sz w:val="24"/>
          <w:szCs w:val="24"/>
          <w:lang w:eastAsia="en-US"/>
        </w:rPr>
        <w:t>) dias úteis, regularize sua situação ou, no mesmo prazo, apresente sua defesa. O prazo poderá ser prorrogado uma vez, por igual período, a critério do contratante.</w:t>
      </w:r>
    </w:p>
    <w:p>
      <w:pPr>
        <w:pStyle w:val="56"/>
        <w:spacing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lang w:eastAsia="en-US"/>
        </w:rPr>
      </w:pPr>
      <w:r>
        <w:rPr>
          <w:color w:val="auto"/>
          <w:sz w:val="24"/>
          <w:szCs w:val="24"/>
          <w:lang w:eastAsia="en-US"/>
        </w:rPr>
        <w:t>Prazo de pagamento</w:t>
      </w:r>
    </w:p>
    <w:p>
      <w:pPr>
        <w:pStyle w:val="56"/>
        <w:spacing w:afterLines="120" w:line="312" w:lineRule="auto"/>
        <w:ind w:firstLine="709"/>
        <w:rPr>
          <w:sz w:val="24"/>
          <w:szCs w:val="24"/>
        </w:rPr>
      </w:pPr>
      <w:r>
        <w:rPr>
          <w:sz w:val="24"/>
          <w:szCs w:val="24"/>
        </w:rPr>
        <w:t>O pagamento será efetuado no prazo de até</w:t>
      </w:r>
      <w:r>
        <w:rPr>
          <w:rFonts w:hint="default"/>
          <w:sz w:val="24"/>
          <w:szCs w:val="24"/>
          <w:lang w:val="pt-BR"/>
        </w:rPr>
        <w:t xml:space="preserve"> 30</w:t>
      </w:r>
      <w:r>
        <w:rPr>
          <w:sz w:val="24"/>
          <w:szCs w:val="24"/>
        </w:rPr>
        <w:t xml:space="preserve"> </w:t>
      </w:r>
      <w:permStart w:id="3" w:edGrp="everyone"/>
      <w:r>
        <w:rPr>
          <w:sz w:val="24"/>
          <w:szCs w:val="24"/>
          <w:highlight w:val="yellow"/>
        </w:rPr>
        <w:t>trinta</w:t>
      </w:r>
      <w:permEnd w:id="3"/>
      <w:r>
        <w:rPr>
          <w:sz w:val="24"/>
          <w:szCs w:val="24"/>
        </w:rPr>
        <w:t xml:space="preserve"> dias, contados da finalização da liquidação da despesa.</w:t>
      </w:r>
    </w:p>
    <w:p>
      <w:pPr>
        <w:pStyle w:val="109"/>
        <w:spacing w:before="120" w:afterLines="120" w:line="312" w:lineRule="auto"/>
        <w:rPr>
          <w:color w:val="auto"/>
          <w:sz w:val="24"/>
          <w:szCs w:val="24"/>
          <w:lang w:eastAsia="en-US"/>
        </w:rPr>
      </w:pPr>
      <w:r>
        <w:rPr>
          <w:color w:val="auto"/>
          <w:sz w:val="24"/>
          <w:szCs w:val="24"/>
          <w:lang w:eastAsia="en-US"/>
        </w:rPr>
        <w:t>Forma de pagamento</w:t>
      </w:r>
    </w:p>
    <w:p>
      <w:pPr>
        <w:pStyle w:val="56"/>
        <w:spacing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firstLine="709"/>
        <w:rPr>
          <w:sz w:val="24"/>
          <w:szCs w:val="24"/>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56"/>
        <w:spacing w:afterLines="120" w:line="312" w:lineRule="auto"/>
        <w:ind w:firstLine="709"/>
        <w:rPr>
          <w:sz w:val="24"/>
          <w:szCs w:val="24"/>
        </w:rPr>
      </w:pPr>
      <w:r>
        <w:rPr>
          <w:sz w:val="24"/>
          <w:szCs w:val="24"/>
        </w:rPr>
        <w:t>FORMA E CRITÉRIOS DE SELEÇÃO DO FORNECEDOR</w:t>
      </w:r>
    </w:p>
    <w:p>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312" w:lineRule="auto"/>
        <w:ind w:firstLine="709"/>
        <w:rPr>
          <w:rFonts w:hint="default"/>
          <w:sz w:val="24"/>
          <w:szCs w:val="24"/>
        </w:rPr>
      </w:pPr>
      <w:r>
        <w:rPr>
          <w:rFonts w:hint="default"/>
          <w:sz w:val="24"/>
          <w:szCs w:val="24"/>
        </w:rPr>
        <w:t>8.1.O fornecedor será selecionado por meio da realização de procedimento de LICITAÇÃO, na modalidade DISPENSA de licitação embasada no art. 75, inciso II da lei 14.133/21:</w:t>
      </w:r>
    </w:p>
    <w:p>
      <w:pPr>
        <w:pStyle w:val="56"/>
        <w:numPr>
          <w:ilvl w:val="1"/>
          <w:numId w:val="0"/>
        </w:numPr>
        <w:spacing w:afterLines="120" w:line="312" w:lineRule="auto"/>
        <w:ind w:left="949" w:leftChars="0" w:firstLine="9" w:firstLineChars="0"/>
        <w:rPr>
          <w:rFonts w:hint="default"/>
          <w:i/>
          <w:iCs/>
          <w:sz w:val="22"/>
          <w:szCs w:val="22"/>
        </w:rPr>
      </w:pPr>
      <w:r>
        <w:rPr>
          <w:rFonts w:hint="default"/>
          <w:i/>
          <w:iCs/>
          <w:sz w:val="22"/>
          <w:szCs w:val="22"/>
        </w:rPr>
        <w:t>Art. 75. É dispensável a licitação:</w:t>
      </w:r>
    </w:p>
    <w:p>
      <w:pPr>
        <w:pStyle w:val="56"/>
        <w:numPr>
          <w:ilvl w:val="1"/>
          <w:numId w:val="0"/>
        </w:numPr>
        <w:spacing w:afterLines="120" w:line="312" w:lineRule="auto"/>
        <w:ind w:left="949" w:leftChars="0" w:firstLine="9" w:firstLineChars="0"/>
        <w:rPr>
          <w:rFonts w:hint="default"/>
          <w:i/>
          <w:iCs/>
          <w:sz w:val="22"/>
          <w:szCs w:val="22"/>
        </w:rPr>
      </w:pPr>
      <w:r>
        <w:rPr>
          <w:rFonts w:hint="default"/>
          <w:i/>
          <w:iCs/>
          <w:sz w:val="22"/>
          <w:szCs w:val="22"/>
        </w:rPr>
        <w:t>II - para contratação que envolva valores inferiores a R$ 50.000,00 (cinquenta mil reais), no caso de outros serviços e compras;       </w:t>
      </w:r>
    </w:p>
    <w:p>
      <w:pPr>
        <w:pStyle w:val="56"/>
        <w:spacing w:afterLines="120" w:line="312" w:lineRule="auto"/>
        <w:ind w:firstLine="709"/>
        <w:rPr>
          <w:sz w:val="24"/>
          <w:szCs w:val="24"/>
        </w:rPr>
      </w:pPr>
      <w:r>
        <w:rPr>
          <w:rFonts w:eastAsia="Arial"/>
          <w:sz w:val="24"/>
          <w:szCs w:val="24"/>
        </w:rPr>
        <w:t xml:space="preserve">O fornecedor será selecionado por meio da realização de procedimento de LICITAÇÃO, na modalidade </w:t>
      </w:r>
      <w:permStart w:id="4" w:edGrp="everyone"/>
      <w:r>
        <w:rPr>
          <w:rFonts w:hint="default" w:eastAsia="Arial"/>
          <w:sz w:val="24"/>
          <w:szCs w:val="24"/>
          <w:lang w:val="pt-BR"/>
        </w:rPr>
        <w:t>Dispensa</w:t>
      </w:r>
      <w:permEnd w:id="4"/>
      <w:r>
        <w:rPr>
          <w:rFonts w:eastAsia="Arial"/>
          <w:sz w:val="24"/>
          <w:szCs w:val="24"/>
        </w:rPr>
        <w:t xml:space="preserve">, com adoção do critério de julgamento </w:t>
      </w:r>
      <w:permStart w:id="5" w:edGrp="everyone"/>
      <w:r>
        <w:rPr>
          <w:rFonts w:hint="default" w:eastAsia="Arial"/>
          <w:sz w:val="24"/>
          <w:szCs w:val="24"/>
          <w:lang w:val="pt-BR"/>
        </w:rPr>
        <w:t>será por item, o preço máximo admitido para aquisição será o menor preço.</w:t>
      </w:r>
      <w:permEnd w:id="5"/>
    </w:p>
    <w:p>
      <w:pPr>
        <w:pStyle w:val="109"/>
        <w:spacing w:before="120" w:afterLines="120" w:line="312" w:lineRule="auto"/>
        <w:rPr>
          <w:color w:val="auto"/>
          <w:sz w:val="24"/>
          <w:szCs w:val="24"/>
        </w:rPr>
      </w:pPr>
      <w:r>
        <w:rPr>
          <w:color w:val="auto"/>
          <w:sz w:val="24"/>
          <w:szCs w:val="24"/>
          <w:lang w:eastAsia="en-US"/>
        </w:rPr>
        <w:t>Exigências de habilitação</w:t>
      </w:r>
    </w:p>
    <w:p>
      <w:pPr>
        <w:pStyle w:val="56"/>
        <w:spacing w:afterLines="120" w:line="312" w:lineRule="auto"/>
        <w:ind w:firstLine="709"/>
        <w:rPr>
          <w:sz w:val="24"/>
          <w:szCs w:val="24"/>
        </w:rPr>
      </w:pPr>
      <w:r>
        <w:rPr>
          <w:sz w:val="24"/>
          <w:szCs w:val="24"/>
        </w:rPr>
        <w:t>Para fins de habilitação, deverá o licitante comprovar os seguintes requisitos:</w:t>
      </w:r>
    </w:p>
    <w:p>
      <w:pPr>
        <w:pStyle w:val="109"/>
        <w:spacing w:before="120" w:afterLines="120" w:line="312" w:lineRule="auto"/>
        <w:rPr>
          <w:color w:val="auto"/>
          <w:sz w:val="24"/>
          <w:szCs w:val="24"/>
          <w:lang w:eastAsia="zh-CN" w:bidi="hi-IN"/>
        </w:rPr>
      </w:pPr>
      <w:r>
        <w:rPr>
          <w:color w:val="auto"/>
          <w:sz w:val="24"/>
          <w:szCs w:val="24"/>
          <w:lang w:eastAsia="zh-CN" w:bidi="hi-IN"/>
        </w:rPr>
        <w:t>Habilitação jurídica</w:t>
      </w:r>
    </w:p>
    <w:p>
      <w:pPr>
        <w:pStyle w:val="56"/>
        <w:spacing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56"/>
        <w:spacing w:after="288" w:afterLines="120" w:line="312" w:lineRule="auto"/>
        <w:ind w:firstLine="709"/>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firstLine="709"/>
        <w:rPr>
          <w:sz w:val="24"/>
          <w:szCs w:val="24"/>
        </w:rPr>
      </w:pPr>
      <w:r>
        <w:rPr>
          <w:sz w:val="24"/>
          <w:szCs w:val="24"/>
        </w:rPr>
        <w:t>Prova de regularidade com o Fundo de Garantia do Tempo de Serviço (FGTS);</w:t>
      </w:r>
    </w:p>
    <w:p>
      <w:pPr>
        <w:pStyle w:val="56"/>
        <w:spacing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r>
        <w:rPr>
          <w:rFonts w:hint="default"/>
          <w:sz w:val="24"/>
          <w:szCs w:val="24"/>
          <w:lang w:val="pt-BR"/>
        </w:rPr>
        <w:t>;</w:t>
      </w:r>
    </w:p>
    <w:p>
      <w:pPr>
        <w:pStyle w:val="56"/>
        <w:spacing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r>
        <w:rPr>
          <w:rFonts w:hint="default"/>
          <w:sz w:val="24"/>
          <w:szCs w:val="24"/>
          <w:lang w:val="pt-BR"/>
        </w:rPr>
        <w:t>;</w:t>
      </w:r>
    </w:p>
    <w:p>
      <w:pPr>
        <w:pStyle w:val="56"/>
        <w:spacing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r>
        <w:rPr>
          <w:rFonts w:hint="default"/>
          <w:sz w:val="24"/>
          <w:szCs w:val="24"/>
          <w:lang w:val="pt-BR"/>
        </w:rPr>
        <w:t>.</w:t>
      </w:r>
    </w:p>
    <w:p>
      <w:pPr>
        <w:pStyle w:val="103"/>
        <w:numPr>
          <w:numId w:val="0"/>
        </w:numPr>
        <w:spacing w:afterLines="120" w:line="312" w:lineRule="auto"/>
        <w:ind w:left="709" w:leftChars="0"/>
        <w:rPr>
          <w:rFonts w:hint="default"/>
          <w:i w:val="0"/>
          <w:iCs w:val="0"/>
          <w:color w:val="auto"/>
          <w:sz w:val="24"/>
          <w:szCs w:val="24"/>
          <w:lang w:val="pt-BR" w:eastAsia="zh-CN" w:bidi="hi-IN"/>
        </w:rPr>
      </w:pPr>
      <w:bookmarkStart w:id="1" w:name="_GoBack"/>
      <w:bookmarkEnd w:id="1"/>
      <w:r>
        <w:rPr>
          <w:rFonts w:hint="default"/>
          <w:i w:val="0"/>
          <w:iCs w:val="0"/>
          <w:color w:val="auto"/>
          <w:sz w:val="24"/>
          <w:szCs w:val="24"/>
          <w:lang w:val="pt-BR" w:eastAsia="zh-CN"/>
        </w:rPr>
        <w:t xml:space="preserve"> </w:t>
      </w:r>
    </w:p>
    <w:p>
      <w:pPr>
        <w:pStyle w:val="39"/>
        <w:shd w:val="clear"/>
        <w:spacing w:before="120" w:afterLines="120" w:line="312" w:lineRule="auto"/>
        <w:rPr>
          <w:color w:val="auto"/>
          <w:sz w:val="24"/>
          <w:szCs w:val="24"/>
          <w:highlight w:val="none"/>
        </w:rPr>
      </w:pPr>
      <w:r>
        <w:rPr>
          <w:sz w:val="24"/>
          <w:szCs w:val="24"/>
          <w:highlight w:val="none"/>
        </w:rPr>
        <w:t>ESTIMATIVAS DO VALO</w:t>
      </w:r>
      <w:r>
        <w:rPr>
          <w:color w:val="auto"/>
          <w:sz w:val="24"/>
          <w:szCs w:val="24"/>
          <w:highlight w:val="none"/>
        </w:rPr>
        <w:t>R DA CONTRATAÇÃO</w:t>
      </w:r>
    </w:p>
    <w:p>
      <w:pPr>
        <w:pStyle w:val="103"/>
        <w:shd w:val="clear"/>
        <w:spacing w:afterLines="120" w:line="312" w:lineRule="auto"/>
        <w:ind w:firstLine="709"/>
        <w:rPr>
          <w:b/>
          <w:bCs/>
          <w:i w:val="0"/>
          <w:iCs w:val="0"/>
          <w:color w:val="auto"/>
          <w:sz w:val="24"/>
          <w:szCs w:val="24"/>
          <w:highlight w:val="none"/>
        </w:rPr>
      </w:pPr>
      <w:permStart w:id="6" w:edGrp="everyone"/>
      <w:r>
        <w:rPr>
          <w:i w:val="0"/>
          <w:iCs w:val="0"/>
          <w:color w:val="auto"/>
          <w:sz w:val="24"/>
          <w:szCs w:val="24"/>
          <w:highlight w:val="none"/>
        </w:rPr>
        <w:t>O custo estimado total da contratação</w:t>
      </w:r>
      <w:r>
        <w:rPr>
          <w:rFonts w:hint="default"/>
          <w:i w:val="0"/>
          <w:iCs w:val="0"/>
          <w:color w:val="auto"/>
          <w:sz w:val="24"/>
          <w:szCs w:val="24"/>
          <w:highlight w:val="none"/>
          <w:lang w:val="pt-BR"/>
        </w:rPr>
        <w:t xml:space="preserve"> se dará</w:t>
      </w:r>
      <w:r>
        <w:rPr>
          <w:i w:val="0"/>
          <w:iCs w:val="0"/>
          <w:color w:val="auto"/>
          <w:sz w:val="24"/>
          <w:szCs w:val="24"/>
          <w:highlight w:val="none"/>
        </w:rPr>
        <w:t xml:space="preserve"> conforme custos unitários apostos na </w:t>
      </w:r>
      <w:r>
        <w:rPr>
          <w:rFonts w:hint="default"/>
          <w:i w:val="0"/>
          <w:iCs w:val="0"/>
          <w:color w:val="auto"/>
          <w:sz w:val="24"/>
          <w:szCs w:val="24"/>
          <w:highlight w:val="none"/>
          <w:lang w:val="pt-BR"/>
        </w:rPr>
        <w:t>tabela de cotação.</w:t>
      </w:r>
    </w:p>
    <w:permEnd w:id="6"/>
    <w:p>
      <w:pPr>
        <w:pStyle w:val="39"/>
        <w:spacing w:before="120" w:afterLines="120" w:line="312" w:lineRule="auto"/>
        <w:rPr>
          <w:sz w:val="24"/>
          <w:szCs w:val="24"/>
        </w:rPr>
      </w:pPr>
      <w:r>
        <w:rPr>
          <w:sz w:val="24"/>
          <w:szCs w:val="24"/>
        </w:rPr>
        <w:t>ADEQUAÇÃO ORÇAMENTÁRIA</w:t>
      </w:r>
    </w:p>
    <w:p>
      <w:pPr>
        <w:pStyle w:val="56"/>
        <w:spacing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pPr>
        <w:keepNext w:val="0"/>
        <w:keepLines w:val="0"/>
        <w:pageBreakBefore w:val="0"/>
        <w:widowControl/>
        <w:kinsoku/>
        <w:wordWrap/>
        <w:overflowPunct/>
        <w:topLinePunct w:val="0"/>
        <w:autoSpaceDE/>
        <w:autoSpaceDN/>
        <w:bidi w:val="0"/>
        <w:adjustRightInd/>
        <w:snapToGrid/>
        <w:spacing w:line="312" w:lineRule="auto"/>
        <w:ind w:left="363"/>
        <w:jc w:val="right"/>
        <w:textAlignment w:val="auto"/>
        <w:rPr>
          <w:rFonts w:hint="default" w:ascii="Arial" w:hAnsi="Arial" w:cs="Arial"/>
          <w:lang w:val="pt-BR"/>
        </w:rPr>
      </w:pPr>
      <w:permStart w:id="7" w:edGrp="everyone"/>
    </w:p>
    <w:p>
      <w:pPr>
        <w:keepNext w:val="0"/>
        <w:keepLines w:val="0"/>
        <w:pageBreakBefore w:val="0"/>
        <w:widowControl/>
        <w:kinsoku/>
        <w:wordWrap/>
        <w:overflowPunct/>
        <w:topLinePunct w:val="0"/>
        <w:autoSpaceDE/>
        <w:autoSpaceDN/>
        <w:bidi w:val="0"/>
        <w:adjustRightInd/>
        <w:snapToGrid/>
        <w:spacing w:line="312" w:lineRule="auto"/>
        <w:ind w:left="363"/>
        <w:jc w:val="left"/>
        <w:textAlignment w:val="auto"/>
        <w:rPr>
          <w:rFonts w:hint="default" w:ascii="Arial" w:hAnsi="Arial" w:cs="Arial"/>
          <w:lang w:val="pt-BR"/>
        </w:rPr>
      </w:pPr>
      <w:r>
        <w:rPr>
          <w:rFonts w:hint="default" w:ascii="Arial" w:hAnsi="Arial" w:cs="Arial"/>
          <w:lang w:val="pt-BR"/>
        </w:rPr>
        <w:t>Arcos/MG, de 11 de Dezembro de 2023</w:t>
      </w:r>
    </w:p>
    <w:p>
      <w:pPr>
        <w:keepNext w:val="0"/>
        <w:keepLines w:val="0"/>
        <w:pageBreakBefore w:val="0"/>
        <w:widowControl/>
        <w:kinsoku/>
        <w:wordWrap/>
        <w:overflowPunct/>
        <w:topLinePunct w:val="0"/>
        <w:autoSpaceDE/>
        <w:autoSpaceDN/>
        <w:bidi w:val="0"/>
        <w:adjustRightInd/>
        <w:snapToGrid/>
        <w:spacing w:line="312" w:lineRule="auto"/>
        <w:ind w:left="363"/>
        <w:jc w:val="center"/>
        <w:textAlignment w:val="auto"/>
        <w:rPr>
          <w:rFonts w:hint="default" w:ascii="Arial" w:hAnsi="Arial" w:cs="Arial"/>
          <w:lang w:val="pt-BR"/>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Arial" w:hAnsi="Arial" w:eastAsia="Arial" w:cs="Arial"/>
        </w:rPr>
      </w:pPr>
      <w:r>
        <w:rPr>
          <w:rFonts w:ascii="Arial" w:hAnsi="Arial" w:eastAsia="Arial" w:cs="Arial"/>
        </w:rPr>
        <w:t>__</w:t>
      </w:r>
      <w:r>
        <w:rPr>
          <w:rFonts w:hint="default" w:ascii="Arial" w:hAnsi="Arial" w:eastAsia="Arial" w:cs="Arial"/>
          <w:lang w:val="pt-BR"/>
        </w:rPr>
        <w:t>___</w:t>
      </w:r>
      <w:r>
        <w:rPr>
          <w:rFonts w:ascii="Arial" w:hAnsi="Arial" w:eastAsia="Arial" w:cs="Arial"/>
        </w:rPr>
        <w:t>_______________________________</w:t>
      </w:r>
    </w:p>
    <w:p>
      <w:pPr>
        <w:pStyle w:val="56"/>
        <w:numPr>
          <w:ilvl w:val="0"/>
          <w:numId w:val="0"/>
        </w:numPr>
        <w:spacing w:after="288" w:afterLines="120" w:line="312" w:lineRule="auto"/>
        <w:jc w:val="center"/>
        <w:rPr>
          <w:rFonts w:hint="default"/>
          <w:sz w:val="24"/>
          <w:szCs w:val="24"/>
          <w:lang w:val="pt-BR"/>
        </w:rPr>
      </w:pPr>
      <w:r>
        <w:rPr>
          <w:rFonts w:hint="default"/>
          <w:sz w:val="24"/>
          <w:szCs w:val="24"/>
          <w:lang w:val="pt-BR"/>
        </w:rPr>
        <w:t>Kledson Luiz de Souza</w:t>
      </w:r>
    </w:p>
    <w:p>
      <w:pPr>
        <w:pStyle w:val="56"/>
        <w:numPr>
          <w:ilvl w:val="0"/>
          <w:numId w:val="0"/>
        </w:numPr>
        <w:spacing w:after="288" w:afterLines="120" w:line="312" w:lineRule="auto"/>
        <w:jc w:val="center"/>
        <w:rPr>
          <w:rFonts w:hint="default" w:ascii="Arial" w:hAnsi="Arial" w:cs="Arial"/>
          <w:lang w:val="pt-BR"/>
        </w:rPr>
      </w:pPr>
      <w:r>
        <w:rPr>
          <w:rFonts w:hint="default"/>
          <w:sz w:val="24"/>
          <w:szCs w:val="24"/>
          <w:lang w:val="pt-BR"/>
        </w:rPr>
        <w:t>Secretário Municipal de Governo</w:t>
      </w:r>
      <w:bookmarkEnd w:id="0"/>
      <w:r>
        <w:rPr>
          <w:rFonts w:hint="default"/>
          <w:sz w:val="24"/>
          <w:szCs w:val="24"/>
          <w:lang w:val="pt-BR"/>
        </w:rPr>
        <w:t>,</w:t>
      </w:r>
      <w:permEnd w:id="7"/>
    </w:p>
    <w:sectPr>
      <w:headerReference r:id="rId3" w:type="default"/>
      <w:footerReference r:id="rId4" w:type="default"/>
      <w:pgSz w:w="11906" w:h="16838"/>
      <w:pgMar w:top="1418" w:right="1417" w:bottom="1418" w:left="141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36B8FEFC"/>
    <w:multiLevelType w:val="singleLevel"/>
    <w:tmpl w:val="36B8FEFC"/>
    <w:lvl w:ilvl="0" w:tentative="0">
      <w:start w:val="1"/>
      <w:numFmt w:val="lowerLetter"/>
      <w:suff w:val="space"/>
      <w:lvlText w:val="%1)"/>
      <w:lvlJc w:val="left"/>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3CAF"/>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0EB4"/>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65B723F"/>
    <w:rsid w:val="07AA743C"/>
    <w:rsid w:val="07FE5D86"/>
    <w:rsid w:val="0825C528"/>
    <w:rsid w:val="0AB4EB49"/>
    <w:rsid w:val="0B8E32B0"/>
    <w:rsid w:val="0C72485D"/>
    <w:rsid w:val="0C9E538D"/>
    <w:rsid w:val="0CD8499C"/>
    <w:rsid w:val="0DA1B3F3"/>
    <w:rsid w:val="0DB0AC54"/>
    <w:rsid w:val="0F79B9D7"/>
    <w:rsid w:val="101E627D"/>
    <w:rsid w:val="10E0D201"/>
    <w:rsid w:val="11041DAD"/>
    <w:rsid w:val="114D992C"/>
    <w:rsid w:val="15FB6522"/>
    <w:rsid w:val="165C66F7"/>
    <w:rsid w:val="16649FEF"/>
    <w:rsid w:val="16AB255A"/>
    <w:rsid w:val="1778077A"/>
    <w:rsid w:val="17FD2A0C"/>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C133BCB"/>
    <w:rsid w:val="2E29257B"/>
    <w:rsid w:val="2E715A7F"/>
    <w:rsid w:val="2EDD18DA"/>
    <w:rsid w:val="2F33A853"/>
    <w:rsid w:val="3003D639"/>
    <w:rsid w:val="3022A7F5"/>
    <w:rsid w:val="30CF78B4"/>
    <w:rsid w:val="323210F4"/>
    <w:rsid w:val="34A1E81C"/>
    <w:rsid w:val="355C2298"/>
    <w:rsid w:val="35951CA7"/>
    <w:rsid w:val="36EC78EE"/>
    <w:rsid w:val="36F4710C"/>
    <w:rsid w:val="37F52BBB"/>
    <w:rsid w:val="384E5416"/>
    <w:rsid w:val="390C2635"/>
    <w:rsid w:val="3920A23A"/>
    <w:rsid w:val="39254BF2"/>
    <w:rsid w:val="3A2C17DC"/>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8D5862"/>
    <w:rsid w:val="48C08A7A"/>
    <w:rsid w:val="4AD3BACB"/>
    <w:rsid w:val="4B428375"/>
    <w:rsid w:val="4B8F2946"/>
    <w:rsid w:val="4D338AB3"/>
    <w:rsid w:val="4E973839"/>
    <w:rsid w:val="4EF315A0"/>
    <w:rsid w:val="4F532767"/>
    <w:rsid w:val="4F58182B"/>
    <w:rsid w:val="512C7C40"/>
    <w:rsid w:val="515AB37A"/>
    <w:rsid w:val="5189942C"/>
    <w:rsid w:val="52F683DB"/>
    <w:rsid w:val="532B3C12"/>
    <w:rsid w:val="556E3F51"/>
    <w:rsid w:val="55FA4715"/>
    <w:rsid w:val="5658C53A"/>
    <w:rsid w:val="569C1CFF"/>
    <w:rsid w:val="583BAD14"/>
    <w:rsid w:val="58ED34F0"/>
    <w:rsid w:val="599F2E3A"/>
    <w:rsid w:val="5B58F1E4"/>
    <w:rsid w:val="5CD15AEC"/>
    <w:rsid w:val="5E044E84"/>
    <w:rsid w:val="5E1E1829"/>
    <w:rsid w:val="5EE1B42A"/>
    <w:rsid w:val="607D848B"/>
    <w:rsid w:val="61981D74"/>
    <w:rsid w:val="61D6BAE2"/>
    <w:rsid w:val="633AA146"/>
    <w:rsid w:val="64D671A7"/>
    <w:rsid w:val="650E5BA4"/>
    <w:rsid w:val="65BF692B"/>
    <w:rsid w:val="666444B4"/>
    <w:rsid w:val="67AF5CA0"/>
    <w:rsid w:val="696B7952"/>
    <w:rsid w:val="69CA7D61"/>
    <w:rsid w:val="6B897116"/>
    <w:rsid w:val="6CB288AC"/>
    <w:rsid w:val="6CB29864"/>
    <w:rsid w:val="6CDEAB8A"/>
    <w:rsid w:val="6DAB702B"/>
    <w:rsid w:val="6DB97277"/>
    <w:rsid w:val="6E9858D8"/>
    <w:rsid w:val="6EA8BB6A"/>
    <w:rsid w:val="6EF048F1"/>
    <w:rsid w:val="6EFA4BB6"/>
    <w:rsid w:val="6F16824D"/>
    <w:rsid w:val="6F9619D1"/>
    <w:rsid w:val="71104140"/>
    <w:rsid w:val="712F5AB8"/>
    <w:rsid w:val="724B2FE2"/>
    <w:rsid w:val="747936FE"/>
    <w:rsid w:val="749958C6"/>
    <w:rsid w:val="74F482F7"/>
    <w:rsid w:val="759EF8DD"/>
    <w:rsid w:val="75AED98F"/>
    <w:rsid w:val="75F30137"/>
    <w:rsid w:val="75FCB035"/>
    <w:rsid w:val="771713DC"/>
    <w:rsid w:val="77392A14"/>
    <w:rsid w:val="77467F07"/>
    <w:rsid w:val="77E0AB9D"/>
    <w:rsid w:val="788D7F63"/>
    <w:rsid w:val="78F9E42E"/>
    <w:rsid w:val="79546C12"/>
    <w:rsid w:val="7A5E6E19"/>
    <w:rsid w:val="7A70CAD6"/>
    <w:rsid w:val="7A957A52"/>
    <w:rsid w:val="7B63C47B"/>
    <w:rsid w:val="7BB9033F"/>
    <w:rsid w:val="7C19F02A"/>
    <w:rsid w:val="7D0285A2"/>
    <w:rsid w:val="7D1D44D0"/>
    <w:rsid w:val="7D377ED9"/>
    <w:rsid w:val="7D58391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65CDB-1419-435A-AC24-1D47985E0D45}">
  <ds:schemaRefs/>
</ds:datastoreItem>
</file>

<file path=customXml/itemProps3.xml><?xml version="1.0" encoding="utf-8"?>
<ds:datastoreItem xmlns:ds="http://schemas.openxmlformats.org/officeDocument/2006/customXml" ds:itemID="{DA862052-D844-467A-AC8D-623B16AA760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7C541C99-BA1C-408F-8BE9-FD886FF1D685}">
  <ds:schemaRefs/>
</ds:datastoreItem>
</file>

<file path=customXml/itemProps6.xml><?xml version="1.0" encoding="utf-8"?>
<ds:datastoreItem xmlns:ds="http://schemas.openxmlformats.org/officeDocument/2006/customXml" ds:itemID="{2B11408A-6D5C-4CA6-95AE-BDB1C00B1E4C}">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1</TotalTime>
  <ScaleCrop>false</ScaleCrop>
  <LinksUpToDate>false</LinksUpToDate>
  <CharactersWithSpaces>30501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rpinheiro</cp:lastModifiedBy>
  <cp:lastPrinted>2024-01-16T18:28:02Z</cp:lastPrinted>
  <dcterms:modified xsi:type="dcterms:W3CDTF">2024-01-16T18:48:07Z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CDAF8A3A61B84CFBBE2FC4F0CDCDCB42_13</vt:lpwstr>
  </property>
</Properties>
</file>