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rPr>
      </w:pPr>
      <w:bookmarkStart w:id="3" w:name="_GoBack"/>
      <w:bookmarkEnd w:id="3"/>
      <w:bookmarkStart w:id="0" w:name="_Hlk82471863"/>
      <w:r>
        <w:rPr>
          <w:rFonts w:ascii="Arial" w:hAnsi="Arial" w:eastAsia="Times New Roman" w:cs="Arial"/>
          <w:b/>
          <w:iCs/>
        </w:rPr>
        <w:t>TERMO DE REFERÊNCIA</w:t>
      </w:r>
    </w:p>
    <w:p>
      <w:pPr>
        <w:jc w:val="center"/>
        <w:rPr>
          <w:rFonts w:hint="default" w:ascii="Arial" w:hAnsi="Arial" w:eastAsia="Times New Roman" w:cs="Arial"/>
          <w:b/>
          <w:iCs/>
          <w:lang w:val="pt-BR"/>
        </w:rPr>
      </w:pPr>
      <w:permStart w:id="0" w:edGrp="everyone"/>
      <w:r>
        <w:rPr>
          <w:rFonts w:hint="default" w:ascii="Arial" w:hAnsi="Arial" w:eastAsia="Times New Roman" w:cs="Arial"/>
          <w:b/>
          <w:iCs/>
          <w:lang w:val="pt-BR"/>
        </w:rPr>
        <w:t>N° 055/2023</w:t>
      </w:r>
    </w:p>
    <w:permEnd w:id="0"/>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Lines="120" w:line="312" w:lineRule="auto"/>
        <w:ind w:left="0" w:firstLine="0"/>
        <w:rPr>
          <w:rFonts w:eastAsia="Arial"/>
          <w:sz w:val="24"/>
          <w:szCs w:val="24"/>
        </w:rPr>
      </w:pPr>
      <w:r>
        <w:rPr>
          <w:sz w:val="24"/>
          <w:szCs w:val="24"/>
        </w:rPr>
        <w:t>CONDIÇÕES GERAIS DA CONTRATAÇÃO</w:t>
      </w:r>
    </w:p>
    <w:p>
      <w:pPr>
        <w:pStyle w:val="56"/>
        <w:spacing w:afterLines="120" w:line="312" w:lineRule="auto"/>
        <w:ind w:left="251" w:leftChars="0" w:firstLine="709" w:firstLineChars="0"/>
        <w:rPr>
          <w:b/>
          <w:bCs/>
          <w:sz w:val="24"/>
          <w:szCs w:val="24"/>
        </w:rPr>
      </w:pPr>
      <w:permStart w:id="1" w:edGrp="everyone"/>
      <w:r>
        <w:rPr>
          <w:sz w:val="24"/>
          <w:szCs w:val="24"/>
          <w:highlight w:val="yellow"/>
        </w:rPr>
        <w:t xml:space="preserve">Contratação da prestação de serviços de </w:t>
      </w:r>
      <w:r>
        <w:rPr>
          <w:rFonts w:hint="default"/>
          <w:sz w:val="24"/>
          <w:szCs w:val="24"/>
          <w:highlight w:val="yellow"/>
          <w:lang w:val="pt-BR"/>
        </w:rPr>
        <w:t xml:space="preserve">manutenção preventiva e corretiva com fornecimento de peças dos equipamentos da sala de Raio X do Hospital Municipal São José </w:t>
      </w:r>
      <w:permEnd w:id="1"/>
      <w:r>
        <w:rPr>
          <w:sz w:val="24"/>
          <w:szCs w:val="24"/>
        </w:rPr>
        <w:t>nos termos da tabela abaixo, conforme condições e exigências estabelecidas neste instrumento.</w:t>
      </w:r>
    </w:p>
    <w:tbl>
      <w:tblPr>
        <w:tblStyle w:val="8"/>
        <w:tblW w:w="104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
        <w:gridCol w:w="750"/>
        <w:gridCol w:w="2535"/>
        <w:gridCol w:w="1230"/>
        <w:gridCol w:w="1230"/>
        <w:gridCol w:w="1305"/>
        <w:gridCol w:w="1185"/>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sz w:val="22"/>
                <w:szCs w:val="22"/>
                <w:lang w:val="pt-BR"/>
              </w:rPr>
            </w:pPr>
            <w:permStart w:id="2" w:edGrp="everyone"/>
            <w:r>
              <w:rPr>
                <w:rFonts w:hint="default" w:ascii="Arial" w:hAnsi="Arial" w:eastAsia="Arial" w:cs="Arial"/>
                <w:b/>
                <w:bCs/>
                <w:color w:val="000000"/>
                <w:sz w:val="22"/>
                <w:szCs w:val="22"/>
                <w:lang w:val="pt-BR"/>
              </w:rPr>
              <w:t>LOTE</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sz w:val="22"/>
                <w:szCs w:val="22"/>
                <w:lang w:val="pt-BR"/>
              </w:rPr>
            </w:pPr>
            <w:r>
              <w:rPr>
                <w:rFonts w:hint="default" w:ascii="Arial" w:hAnsi="Arial" w:eastAsia="Arial" w:cs="Arial"/>
                <w:b/>
                <w:bCs/>
                <w:color w:val="000000"/>
                <w:sz w:val="22"/>
                <w:szCs w:val="22"/>
                <w:lang w:val="pt-BR"/>
              </w:rPr>
              <w:t>ITEM</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ascii="Arial" w:hAnsi="Arial" w:eastAsia="Arial" w:cs="Arial"/>
                <w:color w:val="000000"/>
                <w:sz w:val="22"/>
                <w:szCs w:val="22"/>
              </w:rPr>
            </w:pPr>
            <w:r>
              <w:rPr>
                <w:rFonts w:ascii="Arial" w:hAnsi="Arial" w:eastAsia="Arial" w:cs="Arial"/>
                <w:b/>
                <w:bCs/>
                <w:color w:val="000000" w:themeColor="text1"/>
                <w:sz w:val="22"/>
                <w:szCs w:val="22"/>
                <w14:textFill>
                  <w14:solidFill>
                    <w14:schemeClr w14:val="tx1"/>
                  </w14:solidFill>
                </w14:textFill>
              </w:rPr>
              <w:t>ESPECIFICAÇÃO</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ascii="Arial" w:hAnsi="Arial" w:eastAsia="Arial" w:cs="Arial"/>
                <w:color w:val="000000"/>
                <w:sz w:val="22"/>
                <w:szCs w:val="22"/>
              </w:rPr>
            </w:pPr>
            <w:r>
              <w:rPr>
                <w:rFonts w:ascii="Arial" w:hAnsi="Arial" w:eastAsia="Arial" w:cs="Arial"/>
                <w:b/>
                <w:bCs/>
                <w:color w:val="000000" w:themeColor="text1"/>
                <w:sz w:val="22"/>
                <w:szCs w:val="22"/>
                <w14:textFill>
                  <w14:solidFill>
                    <w14:schemeClr w14:val="tx1"/>
                  </w14:solidFill>
                </w14:textFill>
              </w:rPr>
              <w:t>UNIDADE DE MEDIDA</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sz w:val="22"/>
                <w:szCs w:val="22"/>
                <w:lang w:val="pt-BR"/>
              </w:rPr>
            </w:pPr>
            <w:r>
              <w:rPr>
                <w:rFonts w:ascii="Arial" w:hAnsi="Arial" w:eastAsia="Arial" w:cs="Arial"/>
                <w:b/>
                <w:bCs/>
                <w:sz w:val="22"/>
                <w:szCs w:val="22"/>
              </w:rPr>
              <w:t>QUANT</w:t>
            </w:r>
            <w:r>
              <w:rPr>
                <w:rFonts w:hint="default" w:ascii="Arial" w:hAnsi="Arial" w:eastAsia="Arial" w:cs="Arial"/>
                <w:b/>
                <w:bCs/>
                <w:sz w:val="22"/>
                <w:szCs w:val="22"/>
                <w:lang w:val="pt-BR"/>
              </w:rPr>
              <w:t>. SERVIÇO</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sz w:val="22"/>
                <w:szCs w:val="22"/>
                <w:lang w:val="pt-BR"/>
              </w:rPr>
            </w:pPr>
            <w:r>
              <w:rPr>
                <w:rFonts w:hint="default" w:ascii="Arial" w:hAnsi="Arial" w:eastAsia="Arial" w:cs="Arial"/>
                <w:b/>
                <w:bCs/>
                <w:sz w:val="22"/>
                <w:szCs w:val="22"/>
                <w:lang w:val="pt-BR"/>
              </w:rPr>
              <w:t>QUANT. EQUIP.</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sz w:val="22"/>
                <w:szCs w:val="22"/>
                <w:lang w:val="pt-BR"/>
              </w:rPr>
            </w:pPr>
            <w:r>
              <w:rPr>
                <w:rFonts w:ascii="Arial" w:hAnsi="Arial" w:eastAsia="Arial" w:cs="Arial"/>
                <w:b/>
                <w:bCs/>
                <w:sz w:val="22"/>
                <w:szCs w:val="22"/>
              </w:rPr>
              <w:t>VALOR UNI</w:t>
            </w:r>
            <w:r>
              <w:rPr>
                <w:rFonts w:hint="default" w:ascii="Arial" w:hAnsi="Arial" w:eastAsia="Arial" w:cs="Arial"/>
                <w:b/>
                <w:bCs/>
                <w:sz w:val="22"/>
                <w:szCs w:val="22"/>
                <w:lang w:val="pt-BR"/>
              </w:rPr>
              <w:t>T.</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ascii="Arial" w:hAnsi="Arial" w:eastAsia="Arial" w:cs="Arial"/>
                <w:b/>
                <w:bCs/>
                <w:sz w:val="22"/>
                <w:szCs w:val="22"/>
              </w:rPr>
            </w:pPr>
            <w:r>
              <w:rPr>
                <w:rFonts w:ascii="Arial" w:hAnsi="Arial" w:eastAsia="Arial" w:cs="Arial"/>
                <w:b/>
                <w:bCs/>
                <w:sz w:val="22"/>
                <w:szCs w:val="22"/>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vMerge w:val="restart"/>
            <w:tcBorders>
              <w:top w:val="single" w:color="000000" w:themeColor="text1" w:sz="4" w:space="0"/>
              <w:left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hint="default" w:ascii="Arial" w:hAnsi="Arial" w:eastAsia="Arial" w:cs="Arial"/>
                <w:b w:val="0"/>
                <w:bCs w:val="0"/>
                <w:color w:val="000000"/>
                <w:sz w:val="22"/>
                <w:szCs w:val="22"/>
                <w:lang w:val="pt-BR"/>
              </w:rPr>
            </w:pPr>
            <w:r>
              <w:rPr>
                <w:rFonts w:hint="default" w:ascii="Arial" w:hAnsi="Arial" w:eastAsia="Arial" w:cs="Arial"/>
                <w:b w:val="0"/>
                <w:bCs w:val="0"/>
                <w:color w:val="000000"/>
                <w:sz w:val="22"/>
                <w:szCs w:val="22"/>
                <w:lang w:val="pt-BR"/>
              </w:rPr>
              <w:t>01</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01</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color w:val="auto"/>
                <w:sz w:val="22"/>
                <w:szCs w:val="22"/>
              </w:rPr>
              <w:t>Manutenção Corretiva</w:t>
            </w:r>
            <w:r>
              <w:rPr>
                <w:rFonts w:ascii="Arial" w:hAnsi="Arial" w:cs="Arial"/>
                <w:b w:val="0"/>
                <w:bCs w:val="0"/>
                <w:color w:val="auto"/>
                <w:sz w:val="22"/>
                <w:szCs w:val="22"/>
              </w:rPr>
              <w:t xml:space="preserve"> Impressora ( Por Necessidade) - Digitalizadora </w:t>
            </w:r>
            <w:r>
              <w:rPr>
                <w:rFonts w:ascii="Arial" w:hAnsi="Arial"/>
                <w:b w:val="0"/>
                <w:bCs w:val="0"/>
                <w:color w:val="auto"/>
                <w:sz w:val="22"/>
                <w:szCs w:val="22"/>
              </w:rPr>
              <w:t>DRYVIEW 5850 -CARESTREAM</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01</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4.663,33</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55.960,00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1" w:hRule="atLeast"/>
        </w:trPr>
        <w:tc>
          <w:tcPr>
            <w:tcW w:w="890" w:type="dxa"/>
            <w:vMerge w:val="continue"/>
            <w:tcBorders>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b w:val="0"/>
                <w:bCs w:val="0"/>
                <w:color w:val="000000" w:themeColor="text1"/>
                <w:sz w:val="22"/>
                <w:szCs w:val="22"/>
                <w14:textFill>
                  <w14:solidFill>
                    <w14:schemeClr w14:val="tx1"/>
                  </w14:solidFill>
                </w14:textFill>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02</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
              <w:keepNext w:val="0"/>
              <w:keepLines w:val="0"/>
              <w:pageBreakBefore w:val="0"/>
              <w:shd w:val="clear" w:color="auto" w:fill="FFFFFF"/>
              <w:kinsoku/>
              <w:wordWrap/>
              <w:overflowPunct/>
              <w:topLinePunct w:val="0"/>
              <w:autoSpaceDE/>
              <w:autoSpaceDN/>
              <w:bidi w:val="0"/>
              <w:adjustRightInd/>
              <w:snapToGrid/>
              <w:spacing w:before="0" w:line="240" w:lineRule="auto"/>
              <w:jc w:val="both"/>
              <w:textAlignment w:val="auto"/>
              <w:rPr>
                <w:rFonts w:ascii="Arial" w:hAnsi="Arial" w:cs="Arial"/>
                <w:b w:val="0"/>
                <w:bCs w:val="0"/>
                <w:color w:val="auto"/>
                <w:sz w:val="22"/>
                <w:szCs w:val="22"/>
              </w:rPr>
            </w:pPr>
            <w:r>
              <w:rPr>
                <w:rFonts w:ascii="Arial" w:hAnsi="Arial" w:cs="Arial"/>
                <w:color w:val="auto"/>
                <w:sz w:val="22"/>
                <w:szCs w:val="22"/>
              </w:rPr>
              <w:t xml:space="preserve">Manutenção Preventiva </w:t>
            </w:r>
            <w:r>
              <w:rPr>
                <w:rFonts w:ascii="Arial" w:hAnsi="Arial" w:cs="Arial"/>
                <w:b w:val="0"/>
                <w:bCs w:val="0"/>
                <w:color w:val="auto"/>
                <w:sz w:val="22"/>
                <w:szCs w:val="22"/>
              </w:rPr>
              <w:t>Impressora ( Por Necessidade) da</w:t>
            </w:r>
          </w:p>
          <w:p>
            <w:pPr>
              <w:pStyle w:val="2"/>
              <w:keepNext w:val="0"/>
              <w:keepLines w:val="0"/>
              <w:pageBreakBefore w:val="0"/>
              <w:shd w:val="clear" w:color="auto" w:fill="FFFFFF"/>
              <w:kinsoku/>
              <w:wordWrap/>
              <w:overflowPunct/>
              <w:topLinePunct w:val="0"/>
              <w:autoSpaceDE/>
              <w:autoSpaceDN/>
              <w:bidi w:val="0"/>
              <w:adjustRightInd/>
              <w:snapToGrid/>
              <w:spacing w:before="0" w:line="240" w:lineRule="auto"/>
              <w:jc w:val="both"/>
              <w:textAlignment w:val="auto"/>
              <w:rPr>
                <w:rFonts w:ascii="Arial" w:hAnsi="Arial" w:cs="Arial"/>
                <w:b w:val="0"/>
                <w:bCs w:val="0"/>
                <w:color w:val="auto"/>
                <w:sz w:val="22"/>
                <w:szCs w:val="22"/>
              </w:rPr>
            </w:pPr>
          </w:p>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b w:val="0"/>
                <w:bCs w:val="0"/>
                <w:color w:val="auto"/>
                <w:sz w:val="22"/>
                <w:szCs w:val="22"/>
              </w:rPr>
              <w:t xml:space="preserve">- Digitalizadora </w:t>
            </w:r>
            <w:r>
              <w:rPr>
                <w:rFonts w:ascii="Arial" w:hAnsi="Arial"/>
                <w:b w:val="0"/>
                <w:bCs w:val="0"/>
                <w:color w:val="auto"/>
                <w:sz w:val="22"/>
                <w:szCs w:val="22"/>
              </w:rPr>
              <w:t>DRYVIEW 5850 CARESTREAM</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01</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4.263,33</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51.160,00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vMerge w:val="restart"/>
            <w:tcBorders>
              <w:top w:val="single" w:color="000000" w:themeColor="text1" w:sz="4" w:space="0"/>
              <w:left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02</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01</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b/>
                <w:bCs/>
                <w:sz w:val="22"/>
                <w:szCs w:val="22"/>
              </w:rPr>
              <w:t>Manutenção Corretiva</w:t>
            </w:r>
            <w:r>
              <w:rPr>
                <w:rFonts w:ascii="Arial" w:hAnsi="Arial" w:cs="Arial"/>
                <w:sz w:val="22"/>
                <w:szCs w:val="22"/>
              </w:rPr>
              <w:t xml:space="preserve"> ( Por Necessidade) Do Aparelho De Raio -X - Raex, Modelo Rc 500 D</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ascii="Arial" w:hAnsi="Arial" w:eastAsia="Arial" w:cs="Arial"/>
                <w:color w:val="000000"/>
                <w:sz w:val="22"/>
                <w:szCs w:val="22"/>
              </w:rPr>
            </w:pPr>
            <w:r>
              <w:rPr>
                <w:rFonts w:hint="default" w:ascii="Arial" w:hAnsi="Arial" w:eastAsia="Arial" w:cs="Arial"/>
                <w:color w:val="000000"/>
                <w:sz w:val="22"/>
                <w:szCs w:val="22"/>
                <w:lang w:val="pt-BR"/>
              </w:rPr>
              <w:t>01</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4.582,57</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54.990,78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vMerge w:val="continue"/>
            <w:tcBorders>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b w:val="0"/>
                <w:bCs w:val="0"/>
                <w:color w:val="000000" w:themeColor="text1"/>
                <w:sz w:val="22"/>
                <w:szCs w:val="22"/>
                <w14:textFill>
                  <w14:solidFill>
                    <w14:schemeClr w14:val="tx1"/>
                  </w14:solidFill>
                </w14:textFill>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02</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b/>
                <w:bCs/>
                <w:sz w:val="22"/>
                <w:szCs w:val="22"/>
              </w:rPr>
              <w:t>Manutenção Preventiva</w:t>
            </w:r>
            <w:r>
              <w:rPr>
                <w:rFonts w:ascii="Arial" w:hAnsi="Arial" w:cs="Arial"/>
                <w:sz w:val="22"/>
                <w:szCs w:val="22"/>
              </w:rPr>
              <w:t xml:space="preserve"> Do Aparelho De Raio -X - Raex, Modelo Rc 500 D</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ascii="Arial" w:hAnsi="Arial" w:eastAsia="Arial" w:cs="Arial"/>
                <w:color w:val="000000"/>
                <w:sz w:val="22"/>
                <w:szCs w:val="22"/>
              </w:rPr>
            </w:pPr>
            <w:r>
              <w:rPr>
                <w:rFonts w:hint="default" w:ascii="Arial" w:hAnsi="Arial" w:eastAsia="Arial" w:cs="Arial"/>
                <w:color w:val="000000"/>
                <w:sz w:val="22"/>
                <w:szCs w:val="22"/>
                <w:lang w:val="pt-BR"/>
              </w:rPr>
              <w:t>01</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3.693,50</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44.322,00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vMerge w:val="restart"/>
            <w:tcBorders>
              <w:top w:val="single" w:color="000000" w:themeColor="text1" w:sz="4" w:space="0"/>
              <w:left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03</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01</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b/>
                <w:bCs/>
              </w:rPr>
              <w:t>Manutenção Preventiva</w:t>
            </w:r>
            <w:r>
              <w:rPr>
                <w:rFonts w:ascii="Arial" w:hAnsi="Arial" w:cs="Arial"/>
              </w:rPr>
              <w:t xml:space="preserve"> Da Digitalizadora -(reveladora) Classic CR Directview</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ascii="Arial" w:hAnsi="Arial" w:eastAsia="Arial" w:cs="Arial"/>
                <w:color w:val="000000"/>
                <w:sz w:val="22"/>
                <w:szCs w:val="22"/>
              </w:rPr>
            </w:pPr>
            <w:r>
              <w:rPr>
                <w:rFonts w:hint="default" w:ascii="Arial" w:hAnsi="Arial" w:eastAsia="Arial" w:cs="Arial"/>
                <w:color w:val="000000"/>
                <w:sz w:val="22"/>
                <w:szCs w:val="22"/>
                <w:lang w:val="pt-BR"/>
              </w:rPr>
              <w:t>01</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4.294,44</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51.533,32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vMerge w:val="continue"/>
            <w:tcBorders>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b w:val="0"/>
                <w:bCs w:val="0"/>
                <w:color w:val="000000" w:themeColor="text1"/>
                <w:sz w:val="22"/>
                <w:szCs w:val="22"/>
                <w14:textFill>
                  <w14:solidFill>
                    <w14:schemeClr w14:val="tx1"/>
                  </w14:solidFill>
                </w14:textFill>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02</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b/>
                <w:bCs/>
              </w:rPr>
              <w:t>Manutenção Corretiva</w:t>
            </w:r>
            <w:r>
              <w:rPr>
                <w:rFonts w:ascii="Arial" w:hAnsi="Arial" w:cs="Arial"/>
              </w:rPr>
              <w:t xml:space="preserve"> Da Digitalizadora -(reveladora) Classic CR Directview</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ascii="Arial" w:hAnsi="Arial" w:eastAsia="Arial" w:cs="Arial"/>
                <w:color w:val="000000"/>
                <w:sz w:val="22"/>
                <w:szCs w:val="22"/>
              </w:rPr>
            </w:pPr>
            <w:r>
              <w:rPr>
                <w:rFonts w:hint="default" w:ascii="Arial" w:hAnsi="Arial" w:eastAsia="Arial" w:cs="Arial"/>
                <w:color w:val="000000"/>
                <w:sz w:val="22"/>
                <w:szCs w:val="22"/>
                <w:lang w:val="pt-BR"/>
              </w:rPr>
              <w:t>01</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3.638,50</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43.662,00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vMerge w:val="restart"/>
            <w:tcBorders>
              <w:top w:val="single" w:color="000000" w:themeColor="text1" w:sz="4" w:space="0"/>
              <w:left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04</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01</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b/>
                <w:bCs/>
              </w:rPr>
              <w:t>Manutenção Corretiva</w:t>
            </w:r>
            <w:r>
              <w:rPr>
                <w:rFonts w:ascii="Arial" w:hAnsi="Arial" w:cs="Arial"/>
              </w:rPr>
              <w:t xml:space="preserve">  CHASSIS 35X43</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02</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799,63</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9.595,50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vMerge w:val="continue"/>
            <w:tcBorders>
              <w:left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b w:val="0"/>
                <w:bCs w:val="0"/>
                <w:color w:val="000000" w:themeColor="text1"/>
                <w:sz w:val="22"/>
                <w:szCs w:val="22"/>
                <w14:textFill>
                  <w14:solidFill>
                    <w14:schemeClr w14:val="tx1"/>
                  </w14:solidFill>
                </w14:textFill>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02</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b/>
                <w:bCs/>
              </w:rPr>
              <w:t>Manutenção Corretiva</w:t>
            </w:r>
            <w:r>
              <w:rPr>
                <w:rFonts w:ascii="Arial" w:hAnsi="Arial" w:cs="Arial"/>
              </w:rPr>
              <w:t xml:space="preserve">  CHASSIS 35X35</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02</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799,63</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9.595,50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vMerge w:val="continue"/>
            <w:tcBorders>
              <w:left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b w:val="0"/>
                <w:bCs w:val="0"/>
                <w:color w:val="000000" w:themeColor="text1"/>
                <w:sz w:val="22"/>
                <w:szCs w:val="22"/>
                <w14:textFill>
                  <w14:solidFill>
                    <w14:schemeClr w14:val="tx1"/>
                  </w14:solidFill>
                </w14:textFill>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03</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b/>
                <w:bCs/>
              </w:rPr>
              <w:t>Manutenção Corretiva</w:t>
            </w:r>
            <w:r>
              <w:rPr>
                <w:rFonts w:ascii="Arial" w:hAnsi="Arial" w:cs="Arial"/>
              </w:rPr>
              <w:t xml:space="preserve">  CHASSIS 25X30</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03</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799,63</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9.595,50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vMerge w:val="continue"/>
            <w:tcBorders>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b w:val="0"/>
                <w:bCs w:val="0"/>
                <w:color w:val="000000" w:themeColor="text1"/>
                <w:sz w:val="22"/>
                <w:szCs w:val="22"/>
                <w14:textFill>
                  <w14:solidFill>
                    <w14:schemeClr w14:val="tx1"/>
                  </w14:solidFill>
                </w14:textFill>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04</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b/>
                <w:bCs/>
                <w:color w:val="000000" w:themeColor="text1"/>
                <w14:textFill>
                  <w14:solidFill>
                    <w14:schemeClr w14:val="tx1"/>
                  </w14:solidFill>
                </w14:textFill>
              </w:rPr>
              <w:t>Manutenção Corretiva</w:t>
            </w:r>
            <w:r>
              <w:rPr>
                <w:rFonts w:ascii="Arial" w:hAnsi="Arial" w:cs="Arial"/>
                <w:color w:val="000000" w:themeColor="text1"/>
                <w14:textFill>
                  <w14:solidFill>
                    <w14:schemeClr w14:val="tx1"/>
                  </w14:solidFill>
                </w14:textFill>
              </w:rPr>
              <w:t xml:space="preserve">   CHASSIS 18X24</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06</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799,63</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9.595,50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05</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val="0"/>
                <w:bCs w:val="0"/>
                <w:color w:val="000000" w:themeColor="text1"/>
                <w:sz w:val="22"/>
                <w:szCs w:val="22"/>
                <w:lang w:val="pt-BR"/>
                <w14:textFill>
                  <w14:solidFill>
                    <w14:schemeClr w14:val="tx1"/>
                  </w14:solidFill>
                </w14:textFill>
              </w:rPr>
            </w:pPr>
            <w:r>
              <w:rPr>
                <w:rFonts w:hint="default" w:ascii="Arial" w:hAnsi="Arial" w:eastAsia="Arial" w:cs="Arial"/>
                <w:b w:val="0"/>
                <w:bCs w:val="0"/>
                <w:color w:val="000000" w:themeColor="text1"/>
                <w:sz w:val="22"/>
                <w:szCs w:val="22"/>
                <w:lang w:val="pt-BR"/>
                <w14:textFill>
                  <w14:solidFill>
                    <w14:schemeClr w14:val="tx1"/>
                  </w14:solidFill>
                </w14:textFill>
              </w:rPr>
              <w:t>01</w:t>
            </w:r>
          </w:p>
        </w:tc>
        <w:tc>
          <w:tcPr>
            <w:tcW w:w="2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textAlignment w:val="auto"/>
              <w:rPr>
                <w:rFonts w:ascii="Arial" w:hAnsi="Arial" w:eastAsia="Arial" w:cs="Arial"/>
                <w:color w:val="000000"/>
                <w:sz w:val="22"/>
                <w:szCs w:val="22"/>
              </w:rPr>
            </w:pPr>
            <w:r>
              <w:rPr>
                <w:rFonts w:ascii="Arial" w:hAnsi="Arial" w:cs="Arial"/>
                <w:color w:val="000000" w:themeColor="text1"/>
                <w14:textFill>
                  <w14:solidFill>
                    <w14:schemeClr w14:val="tx1"/>
                  </w14:solidFill>
                </w14:textFill>
              </w:rPr>
              <w:t xml:space="preserve">Acesso remoto para configuração no Software da Carestream </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ser</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12</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01</w:t>
            </w:r>
          </w:p>
        </w:tc>
        <w:tc>
          <w:tcPr>
            <w:tcW w:w="11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4.858,46</w:t>
            </w:r>
          </w:p>
        </w:tc>
        <w:tc>
          <w:tcPr>
            <w:tcW w:w="1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58.301,56</w:t>
            </w:r>
          </w:p>
        </w:tc>
      </w:tr>
      <w:permEnd w:id="2"/>
    </w:tbl>
    <w:p>
      <w:pPr>
        <w:pStyle w:val="56"/>
        <w:numPr>
          <w:ilvl w:val="0"/>
          <w:numId w:val="0"/>
        </w:numPr>
        <w:spacing w:afterLines="120" w:line="312" w:lineRule="auto"/>
        <w:rPr>
          <w:sz w:val="24"/>
          <w:szCs w:val="24"/>
        </w:rPr>
      </w:pPr>
    </w:p>
    <w:p>
      <w:pPr>
        <w:pStyle w:val="56"/>
        <w:spacing w:afterLines="120" w:line="312" w:lineRule="auto"/>
        <w:ind w:left="251" w:leftChars="0" w:firstLine="709" w:firstLineChars="0"/>
        <w:rPr>
          <w:sz w:val="24"/>
          <w:szCs w:val="24"/>
        </w:rPr>
      </w:pPr>
      <w:permStart w:id="3" w:edGrp="everyone"/>
      <w:permEnd w:id="3"/>
      <w:r>
        <w:rPr>
          <w:sz w:val="24"/>
          <w:szCs w:val="24"/>
        </w:rPr>
        <w:t>Os bens objeto desta contratação são caracterizados como comuns, conforme justificativa constante do Estudo Técnico Preliminar.</w:t>
      </w:r>
    </w:p>
    <w:p>
      <w:pPr>
        <w:pStyle w:val="103"/>
        <w:spacing w:afterLines="120" w:line="312" w:lineRule="auto"/>
        <w:ind w:left="251" w:leftChars="0" w:firstLine="709" w:firstLineChars="0"/>
        <w:rPr>
          <w:i w:val="0"/>
          <w:iCs w:val="0"/>
          <w:color w:val="auto"/>
          <w:sz w:val="24"/>
          <w:szCs w:val="24"/>
          <w:highlight w:val="yellow"/>
        </w:rPr>
      </w:pPr>
      <w:permStart w:id="4" w:edGrp="everyone"/>
      <w:r>
        <w:rPr>
          <w:i w:val="0"/>
          <w:iCs w:val="0"/>
          <w:color w:val="auto"/>
          <w:sz w:val="24"/>
          <w:szCs w:val="24"/>
          <w:highlight w:val="yellow"/>
        </w:rPr>
        <w:t>O prazo de vigência da contratação é de</w:t>
      </w:r>
      <w:r>
        <w:rPr>
          <w:rFonts w:hint="default"/>
          <w:i w:val="0"/>
          <w:iCs w:val="0"/>
          <w:color w:val="auto"/>
          <w:sz w:val="24"/>
          <w:szCs w:val="24"/>
          <w:highlight w:val="yellow"/>
          <w:lang w:val="pt-BR"/>
        </w:rPr>
        <w:t xml:space="preserve"> 12(doze) meses </w:t>
      </w:r>
      <w:r>
        <w:rPr>
          <w:i w:val="0"/>
          <w:iCs w:val="0"/>
          <w:color w:val="auto"/>
          <w:sz w:val="24"/>
          <w:szCs w:val="24"/>
          <w:highlight w:val="yellow"/>
        </w:rPr>
        <w:t xml:space="preserve">contados do(a) </w:t>
      </w:r>
      <w:r>
        <w:rPr>
          <w:rFonts w:hint="default"/>
          <w:i w:val="0"/>
          <w:iCs w:val="0"/>
          <w:color w:val="auto"/>
          <w:sz w:val="24"/>
          <w:szCs w:val="24"/>
          <w:highlight w:val="yellow"/>
          <w:lang w:val="pt-BR"/>
        </w:rPr>
        <w:t>assinatura do contrato</w:t>
      </w:r>
      <w:r>
        <w:rPr>
          <w:i w:val="0"/>
          <w:iCs w:val="0"/>
          <w:color w:val="auto"/>
          <w:sz w:val="24"/>
          <w:szCs w:val="24"/>
          <w:highlight w:val="yellow"/>
        </w:rPr>
        <w:t>, na forma do artigo 105 da Lei n° 14.133, de 2021</w:t>
      </w:r>
      <w:permEnd w:id="4"/>
      <w:r>
        <w:rPr>
          <w:i w:val="0"/>
          <w:iCs w:val="0"/>
          <w:color w:val="auto"/>
          <w:sz w:val="24"/>
          <w:szCs w:val="24"/>
          <w:highlight w:val="yellow"/>
        </w:rPr>
        <w:t>.</w:t>
      </w:r>
    </w:p>
    <w:p>
      <w:pPr>
        <w:pStyle w:val="104"/>
        <w:spacing w:afterLines="120" w:line="312" w:lineRule="auto"/>
        <w:ind w:left="170" w:firstLine="709"/>
        <w:rPr>
          <w:i w:val="0"/>
          <w:iCs w:val="0"/>
          <w:color w:val="auto"/>
          <w:sz w:val="24"/>
          <w:szCs w:val="24"/>
          <w:highlight w:val="yellow"/>
        </w:rPr>
      </w:pPr>
      <w:permStart w:id="5" w:edGrp="everyone"/>
      <w:r>
        <w:rPr>
          <w:i w:val="0"/>
          <w:iCs w:val="0"/>
          <w:color w:val="auto"/>
          <w:sz w:val="24"/>
          <w:szCs w:val="24"/>
          <w:highlight w:val="yellow"/>
        </w:rPr>
        <w:t>O fornec</w:t>
      </w:r>
      <w:r>
        <w:rPr>
          <w:rFonts w:hint="default"/>
          <w:i w:val="0"/>
          <w:iCs w:val="0"/>
          <w:color w:val="auto"/>
          <w:sz w:val="24"/>
          <w:szCs w:val="24"/>
          <w:highlight w:val="yellow"/>
          <w:lang w:val="pt-BR"/>
        </w:rPr>
        <w:t>i</w:t>
      </w:r>
      <w:r>
        <w:rPr>
          <w:i w:val="0"/>
          <w:iCs w:val="0"/>
          <w:color w:val="auto"/>
          <w:sz w:val="24"/>
          <w:szCs w:val="24"/>
          <w:highlight w:val="yellow"/>
        </w:rPr>
        <w:t>mento de bens ou serviços é enquadrado como continuado tendo em vista que</w:t>
      </w:r>
      <w:r>
        <w:rPr>
          <w:rFonts w:hint="default"/>
          <w:i w:val="0"/>
          <w:iCs w:val="0"/>
          <w:color w:val="auto"/>
          <w:sz w:val="24"/>
          <w:szCs w:val="24"/>
          <w:highlight w:val="yellow"/>
          <w:lang w:val="pt-BR"/>
        </w:rPr>
        <w:t xml:space="preserve"> os serviços descritos acima é essencial para o funcionamento e conservação do equipamentos</w:t>
      </w:r>
      <w:r>
        <w:rPr>
          <w:i w:val="0"/>
          <w:iCs w:val="0"/>
          <w:color w:val="auto"/>
          <w:sz w:val="24"/>
          <w:szCs w:val="24"/>
          <w:highlight w:val="yellow"/>
        </w:rPr>
        <w:t>, sendo a vigência plurianual mais vantajosa.</w:t>
      </w:r>
    </w:p>
    <w:permEnd w:id="5"/>
    <w:p>
      <w:pPr>
        <w:pStyle w:val="56"/>
        <w:spacing w:afterLines="120" w:line="312" w:lineRule="auto"/>
        <w:ind w:left="251" w:leftChars="0" w:firstLine="709" w:firstLineChars="0"/>
        <w:rPr>
          <w:sz w:val="24"/>
          <w:szCs w:val="24"/>
        </w:rPr>
      </w:pPr>
      <w:r>
        <w:rPr>
          <w:sz w:val="24"/>
          <w:szCs w:val="24"/>
        </w:rPr>
        <w:t>O contrato oferece maior detalhamento das regras que serão aplicadas em relação à vigência da contratação.</w:t>
      </w:r>
    </w:p>
    <w:p>
      <w:pPr>
        <w:pStyle w:val="39"/>
        <w:spacing w:before="120" w:afterLines="120" w:line="312" w:lineRule="auto"/>
        <w:ind w:left="0" w:firstLine="0"/>
        <w:rPr>
          <w:sz w:val="24"/>
          <w:szCs w:val="24"/>
        </w:rPr>
      </w:pPr>
      <w:r>
        <w:rPr>
          <w:sz w:val="24"/>
          <w:szCs w:val="24"/>
        </w:rPr>
        <w:t>FUNDAMENTAÇÃO E DESCRIÇÃO DA NECESSIDADE DA CONTRATAÇÃO</w:t>
      </w:r>
    </w:p>
    <w:p>
      <w:pPr>
        <w:pStyle w:val="56"/>
        <w:spacing w:afterLines="120" w:line="312" w:lineRule="auto"/>
        <w:ind w:left="251" w:leftChars="0" w:firstLine="709" w:firstLineChars="0"/>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56"/>
        <w:spacing w:afterLines="120" w:line="312" w:lineRule="auto"/>
        <w:ind w:left="251" w:leftChars="0" w:firstLine="709" w:firstLineChars="0"/>
        <w:rPr>
          <w:sz w:val="24"/>
          <w:szCs w:val="24"/>
        </w:rPr>
      </w:pPr>
      <w:permStart w:id="6" w:edGrp="everyone"/>
      <w:r>
        <w:rPr>
          <w:sz w:val="24"/>
          <w:szCs w:val="24"/>
          <w:highlight w:val="yellow"/>
        </w:rPr>
        <w:t xml:space="preserve">O objeto da contratação está previsto no Plano de Contratações Anual  de </w:t>
      </w:r>
      <w:r>
        <w:rPr>
          <w:rFonts w:hint="default"/>
          <w:sz w:val="24"/>
          <w:szCs w:val="24"/>
          <w:highlight w:val="yellow"/>
          <w:lang w:val="pt-BR"/>
        </w:rPr>
        <w:t>2023</w:t>
      </w:r>
      <w:r>
        <w:rPr>
          <w:color w:val="auto"/>
          <w:sz w:val="24"/>
          <w:szCs w:val="24"/>
          <w:highlight w:val="yellow"/>
        </w:rPr>
        <w:t>.</w:t>
      </w:r>
    </w:p>
    <w:permEnd w:id="6"/>
    <w:p>
      <w:pPr>
        <w:pStyle w:val="39"/>
        <w:spacing w:before="120"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Lines="120" w:line="312" w:lineRule="auto"/>
        <w:ind w:left="251" w:leftChars="0" w:firstLine="709" w:firstLineChars="0"/>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Lines="120" w:line="312" w:lineRule="auto"/>
        <w:rPr>
          <w:sz w:val="24"/>
          <w:szCs w:val="24"/>
        </w:rPr>
      </w:pPr>
      <w:r>
        <w:rPr>
          <w:sz w:val="24"/>
          <w:szCs w:val="24"/>
        </w:rPr>
        <w:t>MODELO DE EXECUÇÃO DO OBJETO</w:t>
      </w:r>
    </w:p>
    <w:p>
      <w:pPr>
        <w:pStyle w:val="109"/>
        <w:spacing w:before="120" w:afterLines="120" w:line="312" w:lineRule="auto"/>
        <w:rPr>
          <w:color w:val="000000" w:themeColor="text1"/>
          <w:sz w:val="24"/>
          <w:szCs w:val="24"/>
          <w:highlight w:val="yellow"/>
          <w14:textFill>
            <w14:solidFill>
              <w14:schemeClr w14:val="tx1"/>
            </w14:solidFill>
          </w14:textFill>
        </w:rPr>
      </w:pPr>
      <w:permStart w:id="7" w:edGrp="everyone"/>
      <w:r>
        <w:rPr>
          <w:color w:val="000000" w:themeColor="text1"/>
          <w:sz w:val="24"/>
          <w:szCs w:val="24"/>
          <w:highlight w:val="yellow"/>
          <w14:textFill>
            <w14:solidFill>
              <w14:schemeClr w14:val="tx1"/>
            </w14:solidFill>
          </w14:textFill>
        </w:rPr>
        <w:t>Condições de serviços</w:t>
      </w:r>
    </w:p>
    <w:p>
      <w:pPr>
        <w:pStyle w:val="103"/>
        <w:spacing w:afterLines="120" w:line="312" w:lineRule="auto"/>
        <w:ind w:left="251" w:leftChars="0" w:firstLine="709" w:firstLineChars="0"/>
        <w:rPr>
          <w:i w:val="0"/>
          <w:iCs w:val="0"/>
          <w:color w:val="auto"/>
          <w:sz w:val="24"/>
          <w:szCs w:val="24"/>
          <w:highlight w:val="yellow"/>
        </w:rPr>
      </w:pPr>
      <w:r>
        <w:rPr>
          <w:i w:val="0"/>
          <w:iCs w:val="0"/>
          <w:color w:val="auto"/>
          <w:sz w:val="24"/>
          <w:szCs w:val="24"/>
          <w:highlight w:val="yellow"/>
        </w:rPr>
        <w:t>O prazo de execução do serviço é de</w:t>
      </w:r>
      <w:r>
        <w:rPr>
          <w:rFonts w:hint="default"/>
          <w:i w:val="0"/>
          <w:iCs w:val="0"/>
          <w:color w:val="auto"/>
          <w:sz w:val="24"/>
          <w:szCs w:val="24"/>
          <w:highlight w:val="yellow"/>
          <w:lang w:val="pt-BR"/>
        </w:rPr>
        <w:t xml:space="preserve"> 01 (um) </w:t>
      </w:r>
      <w:r>
        <w:rPr>
          <w:i w:val="0"/>
          <w:iCs w:val="0"/>
          <w:color w:val="auto"/>
          <w:sz w:val="24"/>
          <w:szCs w:val="24"/>
          <w:highlight w:val="yellow"/>
        </w:rPr>
        <w:t>dias, contados do(a)</w:t>
      </w:r>
      <w:r>
        <w:rPr>
          <w:rFonts w:hint="default"/>
          <w:i w:val="0"/>
          <w:iCs w:val="0"/>
          <w:color w:val="auto"/>
          <w:sz w:val="24"/>
          <w:szCs w:val="24"/>
          <w:highlight w:val="yellow"/>
          <w:lang w:val="pt-BR"/>
        </w:rPr>
        <w:t xml:space="preserve"> recebimento da Ordem de Serviços</w:t>
      </w:r>
      <w:r>
        <w:rPr>
          <w:i w:val="0"/>
          <w:iCs w:val="0"/>
          <w:color w:val="auto"/>
          <w:sz w:val="24"/>
          <w:szCs w:val="24"/>
          <w:highlight w:val="yellow"/>
        </w:rPr>
        <w:t>.</w:t>
      </w:r>
    </w:p>
    <w:p>
      <w:pPr>
        <w:pStyle w:val="103"/>
        <w:spacing w:afterLines="120" w:line="312" w:lineRule="auto"/>
        <w:ind w:left="251" w:leftChars="0" w:firstLine="709" w:firstLineChars="0"/>
        <w:rPr>
          <w:i w:val="0"/>
          <w:iCs w:val="0"/>
          <w:color w:val="auto"/>
          <w:sz w:val="24"/>
          <w:szCs w:val="24"/>
          <w:highlight w:val="yellow"/>
        </w:rPr>
      </w:pPr>
      <w:r>
        <w:rPr>
          <w:rFonts w:hint="default"/>
          <w:i w:val="0"/>
          <w:iCs w:val="0"/>
          <w:color w:val="auto"/>
          <w:sz w:val="24"/>
          <w:szCs w:val="24"/>
          <w:highlight w:val="yellow"/>
          <w:lang w:val="pt-BR"/>
        </w:rPr>
        <w:t>A contratada deverá disponibilizar e-mail, para registro das solicitações do Município e número de telefone para uma melhor comunicação.</w:t>
      </w:r>
    </w:p>
    <w:p>
      <w:pPr>
        <w:pStyle w:val="103"/>
        <w:spacing w:afterLines="120" w:line="312" w:lineRule="auto"/>
        <w:ind w:left="251" w:leftChars="0" w:firstLine="709" w:firstLineChars="0"/>
        <w:rPr>
          <w:i w:val="0"/>
          <w:iCs w:val="0"/>
          <w:color w:val="auto"/>
          <w:sz w:val="24"/>
          <w:szCs w:val="24"/>
          <w:highlight w:val="yellow"/>
        </w:rPr>
      </w:pPr>
      <w:r>
        <w:rPr>
          <w:rFonts w:hint="default"/>
          <w:i w:val="0"/>
          <w:iCs w:val="0"/>
          <w:color w:val="auto"/>
          <w:sz w:val="24"/>
          <w:szCs w:val="24"/>
          <w:highlight w:val="yellow"/>
          <w:lang w:val="pt-BR"/>
        </w:rPr>
        <w:t>A prestadora deverá ser responsável por quaisquer danos causados diretamente aos equipamentos e a outros bens de propriedade do contratante, quando esses tenham sido ocasionados por seus técnicos durante a execução dos serviços.</w:t>
      </w:r>
    </w:p>
    <w:p>
      <w:pPr>
        <w:pStyle w:val="103"/>
        <w:spacing w:afterLines="120" w:line="312" w:lineRule="auto"/>
        <w:ind w:left="251" w:leftChars="0" w:firstLine="709" w:firstLineChars="0"/>
        <w:rPr>
          <w:i w:val="0"/>
          <w:iCs w:val="0"/>
          <w:color w:val="auto"/>
          <w:sz w:val="24"/>
          <w:szCs w:val="24"/>
          <w:highlight w:val="yellow"/>
        </w:rPr>
      </w:pPr>
      <w:r>
        <w:rPr>
          <w:rFonts w:hint="default"/>
          <w:i w:val="0"/>
          <w:iCs w:val="0"/>
          <w:color w:val="auto"/>
          <w:sz w:val="24"/>
          <w:szCs w:val="24"/>
          <w:highlight w:val="yellow"/>
          <w:lang w:val="pt-BR"/>
        </w:rPr>
        <w:t>Da manutenção preventiva:</w:t>
      </w:r>
    </w:p>
    <w:p>
      <w:pPr>
        <w:pStyle w:val="103"/>
        <w:numPr>
          <w:ilvl w:val="1"/>
          <w:numId w:val="0"/>
        </w:numPr>
        <w:spacing w:afterLines="120" w:line="312" w:lineRule="auto"/>
        <w:ind w:left="709" w:leftChars="0" w:firstLine="250" w:firstLineChars="125"/>
        <w:rPr>
          <w:rFonts w:hint="default"/>
          <w:i w:val="0"/>
          <w:iCs w:val="0"/>
          <w:color w:val="auto"/>
          <w:sz w:val="24"/>
          <w:szCs w:val="24"/>
          <w:highlight w:val="yellow"/>
          <w:lang w:val="pt-BR"/>
        </w:rPr>
      </w:pPr>
      <w:r>
        <w:rPr>
          <w:rFonts w:hint="default"/>
          <w:i w:val="0"/>
          <w:iCs w:val="0"/>
          <w:color w:val="auto"/>
          <w:sz w:val="20"/>
          <w:szCs w:val="20"/>
          <w:highlight w:val="yellow"/>
          <w:lang w:val="pt-BR"/>
        </w:rPr>
        <w:t>4.4.1</w:t>
      </w:r>
      <w:r>
        <w:rPr>
          <w:rFonts w:hint="default"/>
          <w:i w:val="0"/>
          <w:iCs w:val="0"/>
          <w:color w:val="auto"/>
          <w:sz w:val="24"/>
          <w:szCs w:val="24"/>
          <w:highlight w:val="yellow"/>
          <w:lang w:val="pt-BR"/>
        </w:rPr>
        <w:t xml:space="preserve"> A manutenção preventiva deverá ser prestada mensalmente. </w:t>
      </w:r>
    </w:p>
    <w:p>
      <w:pPr>
        <w:pStyle w:val="103"/>
        <w:numPr>
          <w:ilvl w:val="1"/>
          <w:numId w:val="0"/>
        </w:numPr>
        <w:spacing w:afterLines="120" w:line="312" w:lineRule="auto"/>
        <w:ind w:left="249" w:leftChars="0" w:firstLine="710" w:firstLineChars="35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4.4.2 </w:t>
      </w:r>
      <w:r>
        <w:rPr>
          <w:rFonts w:hint="default"/>
          <w:i w:val="0"/>
          <w:iCs w:val="0"/>
          <w:color w:val="auto"/>
          <w:sz w:val="24"/>
          <w:szCs w:val="24"/>
          <w:highlight w:val="yellow"/>
          <w:lang w:val="pt-BR"/>
        </w:rPr>
        <w:t xml:space="preserve">Após a ordem de serviço a contratada deverá agendar o dia da prestação do serviço junto ao Fiscal do contrato. </w:t>
      </w:r>
    </w:p>
    <w:p>
      <w:pPr>
        <w:pStyle w:val="103"/>
        <w:numPr>
          <w:ilvl w:val="1"/>
          <w:numId w:val="0"/>
        </w:numPr>
        <w:spacing w:afterLines="120" w:line="312" w:lineRule="auto"/>
        <w:ind w:left="240" w:leftChars="100" w:firstLine="718" w:firstLineChars="359"/>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4.4.3 </w:t>
      </w:r>
      <w:r>
        <w:rPr>
          <w:rFonts w:hint="default"/>
          <w:i w:val="0"/>
          <w:iCs w:val="0"/>
          <w:color w:val="auto"/>
          <w:sz w:val="24"/>
          <w:szCs w:val="24"/>
          <w:highlight w:val="yellow"/>
          <w:lang w:val="pt-BR"/>
        </w:rPr>
        <w:t xml:space="preserve">Deverá ser realizado na manutenção preventiva a lubrificação, calibração e demais  tarefas que se fizer necessária, a fim de evitar a parada dos equipamentos e conservação dos mesmos; </w:t>
      </w:r>
    </w:p>
    <w:p>
      <w:pPr>
        <w:pStyle w:val="103"/>
        <w:spacing w:afterLines="120" w:line="312" w:lineRule="auto"/>
        <w:ind w:left="251" w:leftChars="0" w:firstLine="709" w:firstLineChars="0"/>
        <w:rPr>
          <w:i w:val="0"/>
          <w:iCs w:val="0"/>
          <w:color w:val="auto"/>
          <w:sz w:val="24"/>
          <w:szCs w:val="24"/>
          <w:highlight w:val="yellow"/>
        </w:rPr>
      </w:pPr>
      <w:r>
        <w:rPr>
          <w:rFonts w:hint="default"/>
          <w:i w:val="0"/>
          <w:iCs w:val="0"/>
          <w:color w:val="auto"/>
          <w:sz w:val="24"/>
          <w:szCs w:val="24"/>
          <w:highlight w:val="yellow"/>
          <w:lang w:val="pt-BR"/>
        </w:rPr>
        <w:t>Da manutenção corretiva e substituição de peças.</w:t>
      </w:r>
    </w:p>
    <w:p>
      <w:pPr>
        <w:pStyle w:val="103"/>
        <w:numPr>
          <w:ilvl w:val="1"/>
          <w:numId w:val="0"/>
        </w:numPr>
        <w:spacing w:afterLines="120" w:line="312" w:lineRule="auto"/>
        <w:ind w:left="229" w:leftChars="0" w:firstLine="730" w:firstLineChars="36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4.5.1 </w:t>
      </w:r>
      <w:r>
        <w:rPr>
          <w:rFonts w:hint="default"/>
          <w:i w:val="0"/>
          <w:iCs w:val="0"/>
          <w:color w:val="auto"/>
          <w:sz w:val="24"/>
          <w:szCs w:val="24"/>
          <w:highlight w:val="yellow"/>
          <w:lang w:val="pt-BR"/>
        </w:rPr>
        <w:t>Após o recebimento da ordem de serviço a contratada deverá agendar o dia da prestação de serviço junto ao Fiscal do Contrato.</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4.5.2 </w:t>
      </w:r>
      <w:r>
        <w:rPr>
          <w:rFonts w:hint="default"/>
          <w:i w:val="0"/>
          <w:iCs w:val="0"/>
          <w:color w:val="auto"/>
          <w:sz w:val="24"/>
          <w:szCs w:val="24"/>
          <w:highlight w:val="yellow"/>
          <w:lang w:val="pt-BR"/>
        </w:rPr>
        <w:t>Todas as peças e/ou suprimentos há serem substituídas, serão de responsabilidade da contratada. Em hipótese alguma o Município comprará peça e/ou qualquer outro tipo de suprimentos.</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4.5.3 </w:t>
      </w:r>
      <w:r>
        <w:rPr>
          <w:rFonts w:hint="default"/>
          <w:i w:val="0"/>
          <w:iCs w:val="0"/>
          <w:color w:val="auto"/>
          <w:sz w:val="24"/>
          <w:szCs w:val="24"/>
          <w:highlight w:val="yellow"/>
          <w:lang w:val="pt-BR"/>
        </w:rPr>
        <w:t xml:space="preserve">Todas as peças e/ou suprimentos substituídos na manutenção corretiva deverão ser entregues ao Fiscal do Contrato. </w:t>
      </w:r>
    </w:p>
    <w:p>
      <w:pPr>
        <w:pStyle w:val="103"/>
        <w:spacing w:afterLines="120" w:line="312" w:lineRule="auto"/>
        <w:ind w:left="251" w:leftChars="0" w:firstLine="709" w:firstLineChars="0"/>
        <w:rPr>
          <w:i w:val="0"/>
          <w:iCs w:val="0"/>
          <w:color w:val="auto"/>
          <w:sz w:val="24"/>
          <w:szCs w:val="24"/>
          <w:highlight w:val="yellow"/>
        </w:rPr>
      </w:pPr>
      <w:r>
        <w:rPr>
          <w:rFonts w:hint="default"/>
          <w:i w:val="0"/>
          <w:iCs w:val="0"/>
          <w:color w:val="auto"/>
          <w:sz w:val="24"/>
          <w:szCs w:val="24"/>
          <w:highlight w:val="yellow"/>
          <w:lang w:val="pt-BR"/>
        </w:rPr>
        <w:t xml:space="preserve"> Da retirada dos equipamentos:</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4.6.1 </w:t>
      </w:r>
      <w:r>
        <w:rPr>
          <w:rFonts w:hint="default"/>
          <w:i w:val="0"/>
          <w:iCs w:val="0"/>
          <w:color w:val="auto"/>
          <w:sz w:val="24"/>
          <w:szCs w:val="24"/>
          <w:highlight w:val="yellow"/>
          <w:lang w:val="pt-BR"/>
        </w:rPr>
        <w:t>Qualquer remoção de equipamentos do Município, deverá ser mediante controle do Fiscal do Contrato.</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4.6.2</w:t>
      </w:r>
      <w:r>
        <w:rPr>
          <w:rFonts w:hint="default"/>
          <w:i w:val="0"/>
          <w:iCs w:val="0"/>
          <w:color w:val="auto"/>
          <w:sz w:val="24"/>
          <w:szCs w:val="24"/>
          <w:highlight w:val="yellow"/>
          <w:lang w:val="pt-BR"/>
        </w:rPr>
        <w:t xml:space="preserve"> Quando houver necessidade da retirada do equipamento instalado na dependência do Município, por impossibilidade de reparos no local onde está instalado, a retirada, transporte, devolução e reinstalação será de inteira responsabilidade do contratado, sem qualquer ônus para o Município, devendo o contratado entrar em contato com o Fiscal de Contrato para informar qual o prazo para devolução.</w:t>
      </w:r>
    </w:p>
    <w:p>
      <w:pPr>
        <w:pStyle w:val="103"/>
        <w:spacing w:afterLines="120" w:line="312" w:lineRule="auto"/>
        <w:ind w:left="251" w:leftChars="0" w:firstLine="709" w:firstLineChars="0"/>
        <w:rPr>
          <w:i w:val="0"/>
          <w:iCs w:val="0"/>
          <w:color w:val="auto"/>
          <w:sz w:val="24"/>
          <w:szCs w:val="24"/>
          <w:highlight w:val="yellow"/>
        </w:rPr>
      </w:pPr>
      <w:r>
        <w:rPr>
          <w:rFonts w:hint="default"/>
          <w:i w:val="0"/>
          <w:iCs w:val="0"/>
          <w:color w:val="auto"/>
          <w:sz w:val="24"/>
          <w:szCs w:val="24"/>
          <w:highlight w:val="yellow"/>
          <w:lang w:val="pt-BR"/>
        </w:rPr>
        <w:t>Dos prazos:</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4.7.1 </w:t>
      </w:r>
      <w:r>
        <w:rPr>
          <w:rFonts w:hint="default"/>
          <w:i w:val="0"/>
          <w:iCs w:val="0"/>
          <w:color w:val="auto"/>
          <w:sz w:val="24"/>
          <w:szCs w:val="24"/>
          <w:highlight w:val="yellow"/>
          <w:lang w:val="pt-BR"/>
        </w:rPr>
        <w:t>A contagem do prazo para finalizar a manutenção terá início nício a partir da solicitação da contratante, devidamente expressa por e-mail, conforme exigência no item 4.2</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4.7.2 </w:t>
      </w:r>
      <w:r>
        <w:rPr>
          <w:rFonts w:hint="default"/>
          <w:i w:val="0"/>
          <w:iCs w:val="0"/>
          <w:color w:val="auto"/>
          <w:sz w:val="24"/>
          <w:szCs w:val="24"/>
          <w:highlight w:val="yellow"/>
          <w:lang w:val="pt-BR"/>
        </w:rPr>
        <w:t>Os serviços visando a correção de defeitos, falhas e/ou problemas técnicos que possam vir a existir no referido equipamento, deverão ser concluídos no prazo máximo de 48 (quarenta e oito) horas, quando não houver necessidade de reposição de peças e/ou suprimentos, e de 04 (quatro) dias quando for necessária a substituição de peças  peças e/ou suprimentos.</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4.7.3 - </w:t>
      </w:r>
      <w:r>
        <w:rPr>
          <w:rFonts w:hint="default"/>
          <w:i w:val="0"/>
          <w:iCs w:val="0"/>
          <w:color w:val="auto"/>
          <w:sz w:val="24"/>
          <w:szCs w:val="24"/>
          <w:highlight w:val="yellow"/>
          <w:lang w:val="pt-BR"/>
        </w:rPr>
        <w:t>Caso seja impossibilitada de cumprir o prazo estipulado no item 5.14.2, a empresa contratada deverá informar ao Fiscal do Contrato através de pedido de prorrogação acompanhado de justificativa escrita devidamente fundamentada e caberá a esse aprovar ou reprovar. Caso seja reprovado, a contratada poderá receber sanções sob a lei vigente;</w:t>
      </w:r>
    </w:p>
    <w:p>
      <w:pPr>
        <w:pStyle w:val="103"/>
        <w:spacing w:afterLines="120" w:line="312" w:lineRule="auto"/>
        <w:ind w:left="251" w:leftChars="0" w:firstLine="709" w:firstLineChars="0"/>
        <w:rPr>
          <w:rFonts w:hint="default"/>
          <w:i w:val="0"/>
          <w:iCs w:val="0"/>
          <w:color w:val="auto"/>
          <w:sz w:val="24"/>
          <w:szCs w:val="24"/>
          <w:highlight w:val="yellow"/>
          <w:lang w:val="pt-BR"/>
        </w:rPr>
      </w:pPr>
      <w:r>
        <w:rPr>
          <w:rFonts w:hint="default"/>
          <w:i w:val="0"/>
          <w:iCs w:val="0"/>
          <w:color w:val="auto"/>
          <w:sz w:val="24"/>
          <w:szCs w:val="24"/>
          <w:highlight w:val="yellow"/>
          <w:lang w:val="pt-BR"/>
        </w:rPr>
        <w:t>Dos relatórios:</w:t>
      </w:r>
    </w:p>
    <w:p>
      <w:pPr>
        <w:pStyle w:val="103"/>
        <w:numPr>
          <w:ilvl w:val="1"/>
          <w:numId w:val="0"/>
        </w:numPr>
        <w:tabs>
          <w:tab w:val="left" w:pos="720"/>
        </w:tabs>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4.8.1 – </w:t>
      </w:r>
      <w:r>
        <w:rPr>
          <w:rFonts w:hint="default"/>
          <w:i w:val="0"/>
          <w:iCs w:val="0"/>
          <w:color w:val="auto"/>
          <w:sz w:val="24"/>
          <w:szCs w:val="24"/>
          <w:highlight w:val="yellow"/>
          <w:lang w:val="pt-BR"/>
        </w:rPr>
        <w:t>Sempre que necessário, a contratada deverá emitir relatórios, conforme solicitação e instrução da contratante;</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4.8.2 </w:t>
      </w:r>
      <w:r>
        <w:rPr>
          <w:rFonts w:hint="default"/>
          <w:i w:val="0"/>
          <w:iCs w:val="0"/>
          <w:color w:val="auto"/>
          <w:sz w:val="24"/>
          <w:szCs w:val="24"/>
          <w:highlight w:val="yellow"/>
          <w:lang w:val="pt-BR"/>
        </w:rPr>
        <w:t>A contratada deverá emitir relatório a cada manutenção realizada, constando todo o serviço prestado e relação de substituições de peças quando ocorrer;</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lang w:val="pt-BR"/>
        </w:rPr>
      </w:pPr>
      <w:r>
        <w:rPr>
          <w:rFonts w:hint="default"/>
          <w:i w:val="0"/>
          <w:iCs w:val="0"/>
          <w:color w:val="auto"/>
          <w:sz w:val="20"/>
          <w:szCs w:val="20"/>
          <w:highlight w:val="yellow"/>
          <w:lang w:val="pt-BR"/>
        </w:rPr>
        <w:t>4.8.3</w:t>
      </w:r>
      <w:r>
        <w:rPr>
          <w:rFonts w:hint="default"/>
          <w:i w:val="0"/>
          <w:iCs w:val="0"/>
          <w:color w:val="auto"/>
          <w:sz w:val="24"/>
          <w:szCs w:val="24"/>
          <w:highlight w:val="yellow"/>
          <w:lang w:val="pt-BR"/>
        </w:rPr>
        <w:t xml:space="preserve"> Caso tenha algum equipamento que com a manutenção preventiva e corretiva, não tenha seus problemas sanados e venha perder suas condições de uso, a contratada deverá emitir relatório atestando a veracidade dos fatos;</w:t>
      </w:r>
    </w:p>
    <w:p>
      <w:pPr>
        <w:pStyle w:val="103"/>
        <w:numPr>
          <w:ilvl w:val="1"/>
          <w:numId w:val="0"/>
        </w:numPr>
        <w:spacing w:afterLines="120" w:line="312" w:lineRule="auto"/>
        <w:ind w:left="0" w:leftChars="0" w:firstLine="960" w:firstLineChars="480"/>
        <w:rPr>
          <w:rFonts w:hint="default"/>
          <w:i w:val="0"/>
          <w:iCs w:val="0"/>
          <w:color w:val="auto"/>
          <w:sz w:val="24"/>
          <w:szCs w:val="24"/>
          <w:highlight w:val="yellow"/>
          <w:lang w:val="pt-BR"/>
        </w:rPr>
      </w:pPr>
      <w:r>
        <w:rPr>
          <w:rFonts w:hint="default"/>
          <w:i w:val="0"/>
          <w:iCs w:val="0"/>
          <w:color w:val="auto"/>
          <w:sz w:val="20"/>
          <w:szCs w:val="20"/>
          <w:highlight w:val="yellow"/>
          <w:lang w:val="pt-BR"/>
        </w:rPr>
        <w:t xml:space="preserve">4.8.4 </w:t>
      </w:r>
      <w:r>
        <w:rPr>
          <w:rFonts w:hint="default"/>
          <w:i w:val="0"/>
          <w:iCs w:val="0"/>
          <w:color w:val="auto"/>
          <w:sz w:val="24"/>
          <w:szCs w:val="24"/>
          <w:highlight w:val="yellow"/>
          <w:lang w:val="pt-BR"/>
        </w:rPr>
        <w:t xml:space="preserve"> Todos os relatórios de manutenções deverão estar devidamente assinados pelo assistente técnico e engenheiro clínico responsável pela empresa contratada;</w:t>
      </w:r>
    </w:p>
    <w:p>
      <w:pPr>
        <w:pStyle w:val="103"/>
        <w:numPr>
          <w:ilvl w:val="1"/>
          <w:numId w:val="0"/>
        </w:numPr>
        <w:spacing w:afterLines="120" w:line="312" w:lineRule="auto"/>
        <w:ind w:left="9" w:leftChars="0" w:firstLine="950" w:firstLineChars="475"/>
        <w:rPr>
          <w:rFonts w:hint="default"/>
          <w:i w:val="0"/>
          <w:iCs w:val="0"/>
          <w:color w:val="auto"/>
          <w:sz w:val="24"/>
          <w:szCs w:val="24"/>
          <w:highlight w:val="yellow"/>
          <w:u w:val="single"/>
          <w:lang w:val="pt-BR"/>
        </w:rPr>
      </w:pPr>
      <w:r>
        <w:rPr>
          <w:rFonts w:hint="default"/>
          <w:i w:val="0"/>
          <w:iCs w:val="0"/>
          <w:color w:val="auto"/>
          <w:sz w:val="20"/>
          <w:szCs w:val="20"/>
          <w:highlight w:val="yellow"/>
          <w:lang w:val="pt-BR"/>
        </w:rPr>
        <w:t>4.8.5</w:t>
      </w:r>
      <w:r>
        <w:rPr>
          <w:rFonts w:hint="default"/>
          <w:i w:val="0"/>
          <w:iCs w:val="0"/>
          <w:color w:val="auto"/>
          <w:sz w:val="24"/>
          <w:szCs w:val="24"/>
          <w:highlight w:val="yellow"/>
          <w:lang w:val="pt-BR"/>
        </w:rPr>
        <w:t xml:space="preserve"> </w:t>
      </w:r>
      <w:r>
        <w:rPr>
          <w:rFonts w:hint="default"/>
          <w:i w:val="0"/>
          <w:iCs w:val="0"/>
          <w:color w:val="auto"/>
          <w:sz w:val="24"/>
          <w:szCs w:val="24"/>
          <w:highlight w:val="yellow"/>
          <w:u w:val="single"/>
          <w:lang w:val="pt-BR"/>
        </w:rPr>
        <w:t>Todo serviço prestado deverá no ato do recolhimento ou entrega ter assinatura do Fiscal do Contrato.</w:t>
      </w:r>
    </w:p>
    <w:p>
      <w:pPr>
        <w:pStyle w:val="103"/>
        <w:numPr>
          <w:ilvl w:val="1"/>
          <w:numId w:val="0"/>
        </w:numPr>
        <w:spacing w:afterLines="120" w:line="312" w:lineRule="auto"/>
        <w:ind w:left="9" w:leftChars="0" w:firstLine="950" w:firstLineChars="475"/>
        <w:rPr>
          <w:i w:val="0"/>
          <w:iCs w:val="0"/>
          <w:color w:val="auto"/>
          <w:sz w:val="24"/>
          <w:szCs w:val="24"/>
          <w:highlight w:val="yellow"/>
        </w:rPr>
      </w:pPr>
      <w:r>
        <w:rPr>
          <w:rFonts w:hint="default"/>
          <w:i w:val="0"/>
          <w:iCs w:val="0"/>
          <w:color w:val="auto"/>
          <w:sz w:val="20"/>
          <w:szCs w:val="20"/>
          <w:highlight w:val="yellow"/>
          <w:lang w:val="pt-BR"/>
        </w:rPr>
        <w:t>4.8.6</w:t>
      </w:r>
      <w:r>
        <w:rPr>
          <w:rFonts w:hint="default"/>
          <w:i w:val="0"/>
          <w:iCs w:val="0"/>
          <w:color w:val="auto"/>
          <w:sz w:val="24"/>
          <w:szCs w:val="24"/>
          <w:highlight w:val="yellow"/>
          <w:lang w:val="pt-BR"/>
        </w:rPr>
        <w:t xml:space="preserve"> É obrigatório entregar a nota fiscal e relatório dos serviços, bem como a relação de peças substituídas durante a manutenção corretiva  ao Fiscal do Contrato. </w:t>
      </w:r>
      <w:permEnd w:id="7"/>
    </w:p>
    <w:p>
      <w:pPr>
        <w:pStyle w:val="39"/>
        <w:spacing w:before="120" w:afterLines="120" w:line="312" w:lineRule="auto"/>
        <w:rPr>
          <w:sz w:val="24"/>
          <w:szCs w:val="24"/>
        </w:rPr>
      </w:pPr>
      <w:r>
        <w:rPr>
          <w:sz w:val="24"/>
          <w:szCs w:val="24"/>
        </w:rPr>
        <w:t>MODELO DE GESTÃO DO CONTRATO</w:t>
      </w:r>
    </w:p>
    <w:p>
      <w:pPr>
        <w:pStyle w:val="56"/>
        <w:spacing w:afterLines="120" w:line="312" w:lineRule="auto"/>
        <w:ind w:left="251" w:leftChars="0" w:firstLine="709" w:firstLineChars="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Lines="120" w:line="312" w:lineRule="auto"/>
        <w:ind w:left="251" w:leftChars="0" w:firstLine="709" w:firstLineChars="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Lines="120" w:line="312" w:lineRule="auto"/>
        <w:ind w:left="251" w:leftChars="0" w:firstLine="709" w:firstLineChars="0"/>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Lines="120" w:line="312" w:lineRule="auto"/>
        <w:ind w:left="251" w:leftChars="0" w:firstLine="709" w:firstLineChars="0"/>
        <w:rPr>
          <w:sz w:val="24"/>
          <w:szCs w:val="24"/>
        </w:rPr>
      </w:pPr>
      <w:r>
        <w:rPr>
          <w:sz w:val="24"/>
          <w:szCs w:val="24"/>
        </w:rPr>
        <w:t>O Município poderá convocar representante da empresa para adoção de providências que devam ser cumpridas de imediato.</w:t>
      </w:r>
    </w:p>
    <w:p>
      <w:pPr>
        <w:pStyle w:val="103"/>
        <w:spacing w:afterLines="120" w:line="312" w:lineRule="auto"/>
        <w:ind w:left="251" w:leftChars="0" w:firstLine="709" w:firstLineChars="0"/>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 xml:space="preserve"> 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Lines="120" w:line="312" w:lineRule="auto"/>
        <w:ind w:left="251" w:leftChars="0" w:firstLine="709" w:firstLineChars="0"/>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xml:space="preserve">), sendo indicado para a presente contratação o servidor </w:t>
      </w:r>
      <w:permStart w:id="8" w:edGrp="everyone"/>
      <w:r>
        <w:rPr>
          <w:rFonts w:hint="default"/>
          <w:sz w:val="24"/>
          <w:szCs w:val="24"/>
          <w:lang w:val="pt-BR"/>
        </w:rPr>
        <w:t xml:space="preserve"> Diretora do Hospital Municipal São José Paula Emília Goulart Valente </w:t>
      </w:r>
      <w:permEnd w:id="8"/>
      <w:r>
        <w:rPr>
          <w:sz w:val="24"/>
          <w:szCs w:val="24"/>
        </w:rPr>
        <w:t xml:space="preserve">para atuar como fiscal do contrato e o servidor </w:t>
      </w:r>
      <w:permStart w:id="9" w:edGrp="everyone"/>
      <w:r>
        <w:rPr>
          <w:sz w:val="24"/>
          <w:szCs w:val="24"/>
          <w:highlight w:val="yellow"/>
        </w:rPr>
        <w:t>XXXX</w:t>
      </w:r>
      <w:r>
        <w:rPr>
          <w:sz w:val="24"/>
          <w:szCs w:val="24"/>
        </w:rPr>
        <w:t xml:space="preserve"> </w:t>
      </w:r>
      <w:permEnd w:id="9"/>
      <w:r>
        <w:rPr>
          <w:sz w:val="24"/>
          <w:szCs w:val="24"/>
        </w:rPr>
        <w:t>para atuar como gestor do contrato.</w:t>
      </w:r>
    </w:p>
    <w:p>
      <w:pPr>
        <w:pStyle w:val="56"/>
        <w:spacing w:afterLines="120" w:line="312" w:lineRule="auto"/>
        <w:ind w:left="251" w:leftChars="0" w:firstLine="709" w:firstLineChars="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Lines="120" w:line="312" w:lineRule="auto"/>
        <w:ind w:left="251" w:leftChars="0" w:firstLine="709" w:firstLineChars="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Lines="120" w:line="312" w:lineRule="auto"/>
        <w:ind w:left="251" w:leftChars="0" w:firstLine="709" w:firstLineChars="0"/>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Lines="120" w:line="312" w:lineRule="auto"/>
        <w:rPr>
          <w:sz w:val="24"/>
          <w:szCs w:val="24"/>
        </w:rPr>
      </w:pPr>
      <w:r>
        <w:rPr>
          <w:sz w:val="24"/>
          <w:szCs w:val="24"/>
        </w:rPr>
        <w:t>CRITÉRIOS DE MEDIÇÃO E DE PAGAMENTO</w:t>
      </w:r>
    </w:p>
    <w:p>
      <w:pPr>
        <w:pStyle w:val="109"/>
        <w:spacing w:before="120" w:afterLines="120" w:line="312" w:lineRule="auto"/>
        <w:rPr>
          <w:color w:val="auto"/>
          <w:sz w:val="24"/>
          <w:szCs w:val="24"/>
          <w:lang w:eastAsia="en-US"/>
        </w:rPr>
      </w:pPr>
      <w:r>
        <w:rPr>
          <w:color w:val="auto"/>
          <w:sz w:val="24"/>
          <w:szCs w:val="24"/>
          <w:lang w:eastAsia="en-US"/>
        </w:rPr>
        <w:t>Liquidação</w:t>
      </w:r>
    </w:p>
    <w:p>
      <w:pPr>
        <w:pStyle w:val="56"/>
        <w:spacing w:afterLines="120" w:line="312" w:lineRule="auto"/>
        <w:ind w:left="251" w:leftChars="0" w:firstLine="709" w:firstLineChars="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r>
        <w:rPr>
          <w:sz w:val="24"/>
          <w:szCs w:val="24"/>
          <w:lang w:eastAsia="en-US"/>
        </w:rPr>
        <w:t xml:space="preserve"> </w:t>
      </w:r>
    </w:p>
    <w:p>
      <w:pPr>
        <w:pStyle w:val="56"/>
        <w:spacing w:afterLines="120" w:line="312" w:lineRule="auto"/>
        <w:ind w:left="251" w:leftChars="0" w:firstLine="709" w:firstLineChars="0"/>
        <w:rPr>
          <w:sz w:val="24"/>
          <w:szCs w:val="24"/>
          <w:lang w:eastAsia="en-US"/>
        </w:rPr>
      </w:pPr>
      <w:r>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Lines="120" w:line="312" w:lineRule="auto"/>
        <w:ind w:left="251" w:leftChars="0" w:firstLine="709" w:firstLineChars="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Lines="120" w:line="312" w:lineRule="auto"/>
        <w:ind w:left="251" w:leftChars="0" w:firstLine="709" w:firstLineChars="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Lines="120" w:line="312" w:lineRule="auto"/>
        <w:ind w:left="251" w:leftChars="0" w:firstLine="709" w:firstLineChars="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Lines="120" w:line="312" w:lineRule="auto"/>
        <w:rPr>
          <w:color w:val="auto"/>
          <w:sz w:val="24"/>
          <w:szCs w:val="24"/>
          <w:lang w:eastAsia="en-US"/>
        </w:rPr>
      </w:pPr>
      <w:r>
        <w:rPr>
          <w:color w:val="auto"/>
          <w:sz w:val="24"/>
          <w:szCs w:val="24"/>
          <w:lang w:eastAsia="en-US"/>
        </w:rPr>
        <w:t>Prazo de pagamento</w:t>
      </w:r>
    </w:p>
    <w:p>
      <w:pPr>
        <w:pStyle w:val="56"/>
        <w:spacing w:afterLines="120" w:line="312" w:lineRule="auto"/>
        <w:ind w:left="251" w:leftChars="0" w:firstLine="709" w:firstLineChars="0"/>
        <w:rPr>
          <w:sz w:val="24"/>
          <w:szCs w:val="24"/>
        </w:rPr>
      </w:pPr>
      <w:r>
        <w:rPr>
          <w:sz w:val="24"/>
          <w:szCs w:val="24"/>
        </w:rPr>
        <w:t xml:space="preserve">O pagamento será efetuado no prazo de até </w:t>
      </w:r>
      <w:permStart w:id="10" w:edGrp="everyone"/>
      <w:r>
        <w:rPr>
          <w:sz w:val="24"/>
          <w:szCs w:val="24"/>
          <w:highlight w:val="yellow"/>
        </w:rPr>
        <w:t>trinta</w:t>
      </w:r>
      <w:permEnd w:id="10"/>
      <w:r>
        <w:rPr>
          <w:sz w:val="24"/>
          <w:szCs w:val="24"/>
        </w:rPr>
        <w:t xml:space="preserve"> dias, contados da finalização da liquidação da despesa.</w:t>
      </w:r>
    </w:p>
    <w:p>
      <w:pPr>
        <w:pStyle w:val="109"/>
        <w:spacing w:before="120" w:afterLines="120" w:line="312" w:lineRule="auto"/>
        <w:rPr>
          <w:color w:val="auto"/>
          <w:sz w:val="24"/>
          <w:szCs w:val="24"/>
          <w:lang w:eastAsia="en-US"/>
        </w:rPr>
      </w:pPr>
      <w:r>
        <w:rPr>
          <w:color w:val="auto"/>
          <w:sz w:val="24"/>
          <w:szCs w:val="24"/>
          <w:lang w:eastAsia="en-US"/>
        </w:rPr>
        <w:t>Forma de pagamento</w:t>
      </w:r>
    </w:p>
    <w:p>
      <w:pPr>
        <w:pStyle w:val="56"/>
        <w:spacing w:afterLines="120" w:line="312" w:lineRule="auto"/>
        <w:ind w:left="251" w:leftChars="0" w:firstLine="709" w:firstLineChars="0"/>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Lines="120" w:line="312" w:lineRule="auto"/>
        <w:ind w:left="251" w:leftChars="0" w:firstLine="709" w:firstLineChars="0"/>
        <w:rPr>
          <w:sz w:val="24"/>
          <w:szCs w:val="24"/>
          <w:lang w:eastAsia="en-US"/>
        </w:rPr>
      </w:pPr>
      <w:r>
        <w:rPr>
          <w:sz w:val="24"/>
          <w:szCs w:val="24"/>
          <w:lang w:eastAsia="en-US"/>
        </w:rPr>
        <w:t>Será considerada data do pagamento o dia em que constar como emitida a ordem bancária para pagamento.</w:t>
      </w:r>
    </w:p>
    <w:p>
      <w:pPr>
        <w:pStyle w:val="56"/>
        <w:spacing w:afterLines="120" w:line="312" w:lineRule="auto"/>
        <w:ind w:left="251" w:leftChars="0" w:firstLine="709" w:firstLineChars="0"/>
        <w:rPr>
          <w:sz w:val="24"/>
          <w:szCs w:val="24"/>
          <w:lang w:eastAsia="en-US"/>
        </w:rPr>
      </w:pPr>
      <w:r>
        <w:rPr>
          <w:sz w:val="24"/>
          <w:szCs w:val="24"/>
          <w:lang w:eastAsia="en-US"/>
        </w:rPr>
        <w:t>Quando do pagamento, será efetuada a retenção tributária prevista na legislação aplicável.</w:t>
      </w:r>
    </w:p>
    <w:p>
      <w:pPr>
        <w:pStyle w:val="58"/>
        <w:spacing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Lines="120" w:line="312" w:lineRule="auto"/>
        <w:ind w:left="251" w:leftChars="0" w:firstLine="709" w:firstLineChars="0"/>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5"/>
        <w:spacing w:before="120" w:afterLines="120" w:line="312" w:lineRule="auto"/>
        <w:rPr>
          <w:rFonts w:ascii="Arial" w:hAnsi="Arial" w:cs="Arial"/>
          <w:b/>
          <w:color w:val="FF0000"/>
          <w:sz w:val="24"/>
          <w:szCs w:val="24"/>
          <w:shd w:val="clear" w:color="auto" w:fill="FFFFFF"/>
        </w:rPr>
      </w:pPr>
    </w:p>
    <w:p>
      <w:pPr>
        <w:pStyle w:val="39"/>
        <w:spacing w:before="120" w:afterLines="120" w:line="312" w:lineRule="auto"/>
        <w:ind w:left="357" w:hanging="357"/>
        <w:rPr>
          <w:sz w:val="24"/>
          <w:szCs w:val="24"/>
        </w:rPr>
      </w:pPr>
      <w:r>
        <w:rPr>
          <w:sz w:val="24"/>
          <w:szCs w:val="24"/>
        </w:rPr>
        <w:t>FORMA E CRITÉRIOS DE SELEÇÃO DO FORNECEDOR</w:t>
      </w:r>
    </w:p>
    <w:p>
      <w:pPr>
        <w:pStyle w:val="109"/>
        <w:spacing w:before="120"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Lines="120" w:line="312" w:lineRule="auto"/>
        <w:ind w:left="251" w:leftChars="0" w:firstLine="709" w:firstLineChars="0"/>
        <w:rPr>
          <w:sz w:val="24"/>
          <w:szCs w:val="24"/>
        </w:rPr>
      </w:pPr>
      <w:r>
        <w:rPr>
          <w:rFonts w:eastAsia="Arial"/>
          <w:sz w:val="24"/>
          <w:szCs w:val="24"/>
        </w:rPr>
        <w:t xml:space="preserve">O fornecedor será selecionado por meio da realização de procedimento de LICITAÇÃO, na modalidade </w:t>
      </w:r>
      <w:permStart w:id="11" w:edGrp="everyone"/>
      <w:r>
        <w:rPr>
          <w:rFonts w:hint="default" w:eastAsia="Arial"/>
          <w:sz w:val="24"/>
          <w:szCs w:val="24"/>
          <w:lang w:val="pt-BR"/>
        </w:rPr>
        <w:t>Registro de Preços</w:t>
      </w:r>
      <w:r>
        <w:rPr>
          <w:rFonts w:eastAsia="Arial"/>
          <w:sz w:val="24"/>
          <w:szCs w:val="24"/>
        </w:rPr>
        <w:t>,</w:t>
      </w:r>
      <w:permEnd w:id="11"/>
      <w:r>
        <w:rPr>
          <w:rFonts w:eastAsia="Arial"/>
          <w:sz w:val="24"/>
          <w:szCs w:val="24"/>
        </w:rPr>
        <w:t xml:space="preserve"> sob a forma ELETRÔNICA, com adoção do critério de julgamento </w:t>
      </w:r>
      <w:permStart w:id="12" w:edGrp="everyone"/>
      <w:r>
        <w:rPr>
          <w:rFonts w:eastAsia="Arial"/>
          <w:sz w:val="24"/>
          <w:szCs w:val="24"/>
        </w:rPr>
        <w:t>pel</w:t>
      </w:r>
      <w:r>
        <w:rPr>
          <w:rFonts w:hint="default" w:eastAsia="Arial"/>
          <w:sz w:val="24"/>
          <w:szCs w:val="24"/>
          <w:lang w:val="pt-BR"/>
        </w:rPr>
        <w:t>o menor preço por lote</w:t>
      </w:r>
      <w:permEnd w:id="12"/>
    </w:p>
    <w:p>
      <w:pPr>
        <w:pStyle w:val="109"/>
        <w:spacing w:before="120" w:afterLines="120" w:line="312" w:lineRule="auto"/>
        <w:rPr>
          <w:color w:val="auto"/>
          <w:sz w:val="24"/>
          <w:szCs w:val="24"/>
        </w:rPr>
      </w:pPr>
      <w:r>
        <w:rPr>
          <w:color w:val="auto"/>
          <w:sz w:val="24"/>
          <w:szCs w:val="24"/>
          <w:lang w:eastAsia="en-US"/>
        </w:rPr>
        <w:t>Exigências de habilitação</w:t>
      </w:r>
    </w:p>
    <w:p>
      <w:pPr>
        <w:pStyle w:val="56"/>
        <w:spacing w:afterLines="120" w:line="312" w:lineRule="auto"/>
        <w:ind w:left="251" w:leftChars="0" w:firstLine="709" w:firstLineChars="0"/>
        <w:rPr>
          <w:sz w:val="24"/>
          <w:szCs w:val="24"/>
        </w:rPr>
      </w:pPr>
      <w:r>
        <w:rPr>
          <w:sz w:val="24"/>
          <w:szCs w:val="24"/>
        </w:rPr>
        <w:t>Para fins de habilitação, deverá o licitante comprovar os seguintes requisitos:</w:t>
      </w:r>
    </w:p>
    <w:p>
      <w:pPr>
        <w:pStyle w:val="109"/>
        <w:spacing w:before="120" w:afterLines="120" w:line="312" w:lineRule="auto"/>
        <w:rPr>
          <w:color w:val="auto"/>
          <w:sz w:val="24"/>
          <w:szCs w:val="24"/>
          <w:lang w:eastAsia="zh-CN" w:bidi="hi-IN"/>
        </w:rPr>
      </w:pPr>
      <w:r>
        <w:rPr>
          <w:color w:val="auto"/>
          <w:sz w:val="24"/>
          <w:szCs w:val="24"/>
          <w:lang w:eastAsia="zh-CN" w:bidi="hi-IN"/>
        </w:rPr>
        <w:t>Habilitação jurídica</w:t>
      </w:r>
    </w:p>
    <w:p>
      <w:pPr>
        <w:pStyle w:val="56"/>
        <w:spacing w:afterLines="120" w:line="312" w:lineRule="auto"/>
        <w:ind w:left="251" w:leftChars="0" w:firstLine="709" w:firstLineChars="0"/>
        <w:rPr>
          <w:sz w:val="24"/>
          <w:szCs w:val="24"/>
        </w:rPr>
      </w:pPr>
      <w:bookmarkStart w:id="1" w:name="_Ref115800561"/>
      <w:r>
        <w:rPr>
          <w:b/>
          <w:bCs/>
          <w:sz w:val="24"/>
          <w:szCs w:val="24"/>
        </w:rPr>
        <w:t>Pessoa física:</w:t>
      </w:r>
      <w:r>
        <w:rPr>
          <w:sz w:val="24"/>
          <w:szCs w:val="24"/>
        </w:rPr>
        <w:t xml:space="preserve"> cédula de identidade (RG) ou documento equivalente que, por força de lei, tenha validade para fins de identificação em todo o território nacional;</w:t>
      </w:r>
      <w:bookmarkEnd w:id="1"/>
    </w:p>
    <w:p>
      <w:pPr>
        <w:pStyle w:val="56"/>
        <w:spacing w:afterLines="120" w:line="312" w:lineRule="auto"/>
        <w:ind w:left="251" w:leftChars="0" w:firstLine="709" w:firstLineChars="0"/>
        <w:rPr>
          <w:sz w:val="24"/>
          <w:szCs w:val="24"/>
        </w:rPr>
      </w:pPr>
      <w:r>
        <w:rPr>
          <w:b/>
          <w:bCs/>
          <w:sz w:val="24"/>
          <w:szCs w:val="24"/>
        </w:rPr>
        <w:t>Empresário individual:</w:t>
      </w:r>
      <w:r>
        <w:rPr>
          <w:sz w:val="24"/>
          <w:szCs w:val="24"/>
        </w:rPr>
        <w:t xml:space="preserve"> inscrição no Registro Público de Empresas Mercantis, a cargo da Junta Comercial da respectiva sede; </w:t>
      </w:r>
    </w:p>
    <w:p>
      <w:pPr>
        <w:pStyle w:val="56"/>
        <w:spacing w:afterLines="120" w:line="312" w:lineRule="auto"/>
        <w:ind w:left="251" w:leftChars="0" w:firstLine="709" w:firstLineChars="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Lines="120" w:line="312" w:lineRule="auto"/>
        <w:ind w:left="251" w:leftChars="0" w:firstLine="709" w:firstLineChars="0"/>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Lines="120" w:line="312" w:lineRule="auto"/>
        <w:ind w:left="251" w:leftChars="0" w:firstLine="709" w:firstLineChars="0"/>
        <w:rPr>
          <w:sz w:val="24"/>
          <w:szCs w:val="24"/>
        </w:rPr>
      </w:pPr>
      <w:r>
        <w:rPr>
          <w:b/>
          <w:bCs/>
          <w:sz w:val="24"/>
          <w:szCs w:val="24"/>
        </w:rPr>
        <w:t>Sociedade empresária estrangeira:</w:t>
      </w:r>
      <w:r>
        <w:rPr>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56"/>
        <w:spacing w:afterLines="120" w:line="312" w:lineRule="auto"/>
        <w:ind w:left="251" w:leftChars="0" w:firstLine="709" w:firstLineChars="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Lines="120" w:line="312" w:lineRule="auto"/>
        <w:ind w:left="251" w:leftChars="0" w:firstLine="709" w:firstLineChars="0"/>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2" w:name="_Int_ySfCXwr4"/>
      <w:r>
        <w:rPr>
          <w:sz w:val="24"/>
          <w:szCs w:val="24"/>
        </w:rPr>
        <w:t>Mercantis onde</w:t>
      </w:r>
      <w:bookmarkEnd w:id="2"/>
      <w:r>
        <w:rPr>
          <w:sz w:val="24"/>
          <w:szCs w:val="24"/>
        </w:rPr>
        <w:t xml:space="preserve"> opera, com averbação no Registro onde tem sede a matriz</w:t>
      </w:r>
    </w:p>
    <w:p>
      <w:pPr>
        <w:pStyle w:val="56"/>
        <w:spacing w:afterLines="120" w:line="312" w:lineRule="auto"/>
        <w:ind w:left="251" w:leftChars="0" w:firstLine="709" w:firstLineChars="0"/>
        <w:rPr>
          <w:sz w:val="24"/>
          <w:szCs w:val="24"/>
        </w:rPr>
      </w:pPr>
      <w:r>
        <w:rPr>
          <w:rFonts w:hint="default"/>
          <w:b/>
          <w:bCs/>
          <w:sz w:val="24"/>
          <w:szCs w:val="24"/>
          <w:lang w:val="pt-BR"/>
        </w:rPr>
        <w:t xml:space="preserve"> </w:t>
      </w:r>
      <w:r>
        <w:rPr>
          <w:b/>
          <w:bCs/>
          <w:sz w:val="24"/>
          <w:szCs w:val="24"/>
        </w:rPr>
        <w:t>Sociedade cooperativa:</w:t>
      </w:r>
      <w:r>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w:instrText>
      </w:r>
      <w:r>
        <w:fldChar w:fldCharType="separate"/>
      </w:r>
      <w:r>
        <w:rPr>
          <w:rStyle w:val="13"/>
          <w:sz w:val="24"/>
          <w:szCs w:val="24"/>
        </w:rPr>
        <w:t>art. 107 da Lei nº 5.764, de 16 de dezembro 1971</w:t>
      </w:r>
      <w:r>
        <w:rPr>
          <w:rStyle w:val="13"/>
          <w:sz w:val="24"/>
          <w:szCs w:val="24"/>
        </w:rPr>
        <w:fldChar w:fldCharType="end"/>
      </w:r>
      <w:r>
        <w:rPr>
          <w:sz w:val="24"/>
          <w:szCs w:val="24"/>
        </w:rPr>
        <w:t>.</w:t>
      </w:r>
    </w:p>
    <w:p>
      <w:pPr>
        <w:pStyle w:val="56"/>
        <w:spacing w:afterLines="120" w:line="312" w:lineRule="auto"/>
        <w:ind w:left="251" w:leftChars="0" w:firstLine="709" w:firstLineChars="0"/>
        <w:rPr>
          <w:sz w:val="24"/>
          <w:szCs w:val="24"/>
        </w:rPr>
      </w:pPr>
      <w:r>
        <w:rPr>
          <w:rFonts w:hint="default"/>
          <w:b/>
          <w:bCs/>
          <w:sz w:val="24"/>
          <w:szCs w:val="24"/>
          <w:lang w:val="pt-BR"/>
        </w:rPr>
        <w:t xml:space="preserve"> </w:t>
      </w:r>
      <w:r>
        <w:rPr>
          <w:b/>
          <w:bCs/>
          <w:sz w:val="24"/>
          <w:szCs w:val="24"/>
        </w:rPr>
        <w:t>Agricultor familiar:</w:t>
      </w:r>
      <w:r>
        <w:rPr>
          <w:sz w:val="24"/>
          <w:szCs w:val="24"/>
        </w:rPr>
        <w:t xml:space="preserve"> Declaração de Aptidão ao Pronaf – DAP ou DAP-P válida, ou, ainda, outros documentos definidos pela Secretaria Especial de Agricultura Familiar e do Desenvolvimento Agrário, nos termos do</w:t>
      </w:r>
      <w:r>
        <w:fldChar w:fldCharType="begin"/>
      </w:r>
      <w:r>
        <w:instrText xml:space="preserve"> HYPERLINK "https://www.planalto.gov.br/ccivil_03/_ato2019-2022/2021/decreto/d10880.htm" \l "art4§2" </w:instrText>
      </w:r>
      <w:r>
        <w:fldChar w:fldCharType="separate"/>
      </w:r>
      <w:r>
        <w:rPr>
          <w:rStyle w:val="13"/>
          <w:sz w:val="24"/>
          <w:szCs w:val="24"/>
        </w:rPr>
        <w:t xml:space="preserve"> art. 4º, §2º do Decreto nº 10.880, de 2 de dezembro de 2021</w:t>
      </w:r>
      <w:r>
        <w:rPr>
          <w:rStyle w:val="13"/>
          <w:sz w:val="24"/>
          <w:szCs w:val="24"/>
        </w:rPr>
        <w:fldChar w:fldCharType="end"/>
      </w:r>
      <w:r>
        <w:rPr>
          <w:sz w:val="24"/>
          <w:szCs w:val="24"/>
        </w:rPr>
        <w:t>.</w:t>
      </w:r>
    </w:p>
    <w:p>
      <w:pPr>
        <w:pStyle w:val="56"/>
        <w:spacing w:afterLines="120" w:line="312" w:lineRule="auto"/>
        <w:ind w:left="251" w:leftChars="0" w:firstLine="709" w:firstLineChars="0"/>
        <w:rPr>
          <w:sz w:val="24"/>
          <w:szCs w:val="24"/>
        </w:rPr>
      </w:pPr>
      <w:r>
        <w:rPr>
          <w:rFonts w:hint="default"/>
          <w:b/>
          <w:bCs/>
          <w:sz w:val="24"/>
          <w:szCs w:val="24"/>
          <w:lang w:val="pt-BR"/>
        </w:rPr>
        <w:t xml:space="preserve"> </w:t>
      </w:r>
      <w:r>
        <w:rPr>
          <w:b/>
          <w:bCs/>
          <w:sz w:val="24"/>
          <w:szCs w:val="24"/>
        </w:rPr>
        <w:t>Produtor Rural:</w:t>
      </w:r>
      <w:r>
        <w:rPr>
          <w:sz w:val="24"/>
          <w:szCs w:val="24"/>
        </w:rPr>
        <w:t xml:space="preserve"> matrícula no Cadastro Específico do INSS – CEI, que comprove a qualificação como produtor rural pessoa física, nos termos da </w:t>
      </w:r>
      <w:r>
        <w:fldChar w:fldCharType="begin"/>
      </w:r>
      <w:r>
        <w:instrText xml:space="preserve"> HYPERLINK "https://www.gov.br/trabalho-e-previdencia/pt-br/servicos/empregador/programa-de-alimentacao-do-trabalhador-pat/arquivos-legislacao/instrucoes-normativas/pat_in_971_2009.pdf" </w:instrText>
      </w:r>
      <w:r>
        <w:fldChar w:fldCharType="separate"/>
      </w:r>
      <w:r>
        <w:rPr>
          <w:rStyle w:val="13"/>
          <w:sz w:val="24"/>
          <w:szCs w:val="24"/>
        </w:rPr>
        <w:t>Instrução Normativa RFB n. 971, de 13 de novembro de 2009</w:t>
      </w:r>
      <w:r>
        <w:rPr>
          <w:rStyle w:val="13"/>
          <w:sz w:val="24"/>
          <w:szCs w:val="24"/>
        </w:rPr>
        <w:fldChar w:fldCharType="end"/>
      </w:r>
      <w:r>
        <w:rPr>
          <w:sz w:val="24"/>
          <w:szCs w:val="24"/>
        </w:rPr>
        <w:t xml:space="preserve"> (arts. 17 a 19 e 165).</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Os documentos apresentados deverão estar acompanhados de todas as alterações ou da consolidação respectiva.</w:t>
      </w:r>
    </w:p>
    <w:p>
      <w:pPr>
        <w:pStyle w:val="109"/>
        <w:spacing w:before="120"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Prova de inscrição no Cadastro Nacional de Pessoas Jurídicas ou no Cadastro de Pessoas Físicas, conforme o caso;</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Prova de regularidade com o Fundo de Garantia do Tempo de Serviço (FGTS);</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 xml:space="preserve">Prova de inscrição no cadastro de contribuintes relativo ao domicílio ou sede do fornecedor, pertinente ao seu ramo de atividade e compatível com o objeto contratual; </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 xml:space="preserve">Balanço patrimonial, demonstração de resultado de exercício e demais demonstrações contábeis relativos ao último exercício </w:t>
      </w:r>
      <w:permStart w:id="13" w:edGrp="everyone"/>
      <w:r>
        <w:rPr>
          <w:sz w:val="24"/>
          <w:szCs w:val="24"/>
          <w:highlight w:val="yellow"/>
        </w:rPr>
        <w:t>2022.</w:t>
      </w:r>
      <w:permEnd w:id="13"/>
      <w:r>
        <w:rPr>
          <w:sz w:val="24"/>
          <w:szCs w:val="24"/>
        </w:rPr>
        <w:t xml:space="preserve"> (Lei nº 14.133, de 2021, art. 69, §6º).</w:t>
      </w:r>
    </w:p>
    <w:p>
      <w:pPr>
        <w:pStyle w:val="56"/>
        <w:spacing w:afterLines="120" w:line="312" w:lineRule="auto"/>
        <w:ind w:left="251" w:leftChars="0" w:firstLine="709" w:firstLineChars="0"/>
        <w:rPr>
          <w:sz w:val="24"/>
          <w:szCs w:val="24"/>
        </w:rPr>
      </w:pPr>
      <w:r>
        <w:rPr>
          <w:rFonts w:hint="default"/>
          <w:sz w:val="24"/>
          <w:szCs w:val="24"/>
          <w:lang w:val="pt-BR"/>
        </w:rPr>
        <w:t xml:space="preserve"> </w:t>
      </w: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Lines="120" w:line="312" w:lineRule="auto"/>
        <w:ind w:left="251" w:leftChars="0" w:firstLine="709" w:firstLineChars="0"/>
        <w:rPr>
          <w:i w:val="0"/>
          <w:iCs w:val="0"/>
          <w:color w:val="auto"/>
          <w:sz w:val="24"/>
          <w:szCs w:val="24"/>
        </w:rPr>
      </w:pPr>
      <w:r>
        <w:rPr>
          <w:rFonts w:hint="default"/>
          <w:i w:val="0"/>
          <w:iCs w:val="0"/>
          <w:color w:val="auto"/>
          <w:sz w:val="24"/>
          <w:szCs w:val="24"/>
          <w:lang w:val="pt-BR"/>
        </w:rPr>
        <w:t xml:space="preserve"> Alvará de licença para localização e funcionamento expedido pela Prefeitura Municipal, sede do licitante.</w:t>
      </w:r>
    </w:p>
    <w:p>
      <w:pPr>
        <w:pStyle w:val="103"/>
        <w:spacing w:afterLines="120" w:line="312" w:lineRule="auto"/>
        <w:ind w:left="251" w:leftChars="0" w:firstLine="709" w:firstLineChars="0"/>
        <w:rPr>
          <w:i w:val="0"/>
          <w:iCs w:val="0"/>
          <w:color w:val="auto"/>
          <w:sz w:val="24"/>
          <w:szCs w:val="24"/>
        </w:rPr>
      </w:pPr>
      <w:r>
        <w:rPr>
          <w:rFonts w:hint="default"/>
          <w:i w:val="0"/>
          <w:iCs w:val="0"/>
          <w:color w:val="auto"/>
          <w:sz w:val="24"/>
          <w:szCs w:val="24"/>
          <w:lang w:val="pt-BR"/>
        </w:rPr>
        <w:t xml:space="preserve"> Atestado de capacidade técnica emitido por pessoa jurídica de direito público ou privado com serviço compatível com o objeto licitado. Ou seja com manutenção de todos os aparelhos citados no objeto.</w:t>
      </w:r>
    </w:p>
    <w:p>
      <w:pPr>
        <w:pStyle w:val="103"/>
        <w:numPr>
          <w:ilvl w:val="1"/>
          <w:numId w:val="0"/>
        </w:numPr>
        <w:spacing w:afterLines="120" w:line="312" w:lineRule="auto"/>
        <w:ind w:left="960" w:leftChars="0"/>
        <w:rPr>
          <w:rFonts w:hint="default"/>
          <w:i w:val="0"/>
          <w:iCs w:val="0"/>
          <w:color w:val="auto"/>
          <w:sz w:val="24"/>
          <w:szCs w:val="24"/>
          <w:lang w:val="pt-BR"/>
        </w:rPr>
      </w:pPr>
      <w:r>
        <w:rPr>
          <w:rFonts w:hint="default" w:ascii="Arial" w:hAnsi="Arial" w:cs="Arial"/>
          <w:i w:val="0"/>
          <w:iCs w:val="0"/>
          <w:color w:val="auto"/>
          <w:sz w:val="20"/>
          <w:szCs w:val="20"/>
          <w:lang w:val="pt-BR"/>
        </w:rPr>
        <w:t>8.26.1</w:t>
      </w:r>
      <w:r>
        <w:rPr>
          <w:rFonts w:hint="default" w:cs="Arial"/>
          <w:i w:val="0"/>
          <w:iCs w:val="0"/>
          <w:color w:val="auto"/>
          <w:sz w:val="20"/>
          <w:szCs w:val="20"/>
          <w:lang w:val="pt-BR"/>
        </w:rPr>
        <w:t xml:space="preserve"> P</w:t>
      </w:r>
      <w:r>
        <w:rPr>
          <w:rFonts w:hint="default"/>
          <w:i w:val="0"/>
          <w:iCs w:val="0"/>
          <w:color w:val="auto"/>
          <w:sz w:val="24"/>
          <w:szCs w:val="24"/>
          <w:lang w:val="pt-BR"/>
        </w:rPr>
        <w:t>oderá haver mais de 01 (um atestado, se necessário;</w:t>
      </w:r>
    </w:p>
    <w:p>
      <w:pPr>
        <w:pStyle w:val="56"/>
        <w:spacing w:afterLines="120" w:line="312" w:lineRule="auto"/>
        <w:ind w:left="251" w:leftChars="0" w:firstLine="709" w:firstLineChars="0"/>
        <w:rPr>
          <w:rFonts w:hint="default"/>
          <w:sz w:val="24"/>
          <w:szCs w:val="24"/>
          <w:lang w:val="pt-BR" w:eastAsia="pt-BR"/>
        </w:rPr>
      </w:pPr>
      <w:r>
        <w:rPr>
          <w:rFonts w:hint="default"/>
          <w:sz w:val="24"/>
          <w:szCs w:val="24"/>
          <w:lang w:val="pt-BR" w:eastAsia="pt-BR"/>
        </w:rPr>
        <w:t xml:space="preserve">Declaração formal assinada pelo representante legal da empresa, sob as penalidades da lei, de que tem pleno conhecimento das condições e peculiaridades inerentes à natureza dos trabalhos, assumindo total responsabilidade por esse fato e informando que não se utilizará destes para quaisquer questionamentos futuros de qualquer natureza; </w:t>
      </w:r>
    </w:p>
    <w:p>
      <w:pPr>
        <w:pStyle w:val="56"/>
        <w:spacing w:afterLines="120" w:line="312" w:lineRule="auto"/>
        <w:ind w:left="251" w:leftChars="0" w:firstLine="709" w:firstLineChars="0"/>
        <w:rPr>
          <w:rFonts w:hint="default"/>
          <w:sz w:val="24"/>
          <w:szCs w:val="24"/>
          <w:lang w:val="pt-BR" w:eastAsia="pt-BR"/>
        </w:rPr>
      </w:pPr>
      <w:r>
        <w:rPr>
          <w:rFonts w:hint="default"/>
          <w:sz w:val="24"/>
          <w:szCs w:val="24"/>
          <w:lang w:val="pt-BR" w:eastAsia="pt-BR"/>
        </w:rPr>
        <w:t xml:space="preserve"> Alvará Sanitário (Licença Sanitária) da empresa licitante, expedido pela Vigilância Sanitária Estadual ou Municipal.</w:t>
      </w:r>
    </w:p>
    <w:p>
      <w:pPr>
        <w:pStyle w:val="56"/>
        <w:spacing w:afterLines="120" w:line="312" w:lineRule="auto"/>
        <w:ind w:left="251" w:leftChars="0" w:firstLine="709" w:firstLineChars="0"/>
        <w:rPr>
          <w:rFonts w:hint="default"/>
          <w:sz w:val="24"/>
          <w:szCs w:val="24"/>
          <w:lang w:val="pt-BR" w:eastAsia="pt-BR"/>
        </w:rPr>
      </w:pPr>
      <w:r>
        <w:rPr>
          <w:rFonts w:hint="default"/>
          <w:sz w:val="24"/>
          <w:szCs w:val="24"/>
          <w:lang w:val="pt-BR" w:eastAsia="pt-BR"/>
        </w:rPr>
        <w:t xml:space="preserve"> Deverá apresentar o registro da empresa ou dos profissionais,  no CREA (Conselho Regional de Engenharia e Agronomia), ou CFT (Conselho Federal de Técnico), ou outro conselho que dê habilitação para prestação do serviço compatível com o objeto, para as seguintes áreas técnicas: engenharia mecânica, elétrica, eletrônica, automação, biomédica e especialista em Engenharia Clínica. </w:t>
      </w:r>
    </w:p>
    <w:p>
      <w:pPr>
        <w:pStyle w:val="56"/>
        <w:spacing w:afterLines="120" w:line="312" w:lineRule="auto"/>
        <w:ind w:left="251" w:leftChars="0" w:firstLine="709" w:firstLineChars="0"/>
        <w:rPr>
          <w:rFonts w:hint="default"/>
          <w:sz w:val="24"/>
          <w:szCs w:val="24"/>
          <w:lang w:val="pt-BR" w:eastAsia="pt-BR"/>
        </w:rPr>
      </w:pPr>
      <w:r>
        <w:rPr>
          <w:rFonts w:hint="default"/>
          <w:sz w:val="24"/>
          <w:szCs w:val="24"/>
          <w:lang w:val="pt-BR" w:eastAsia="pt-BR"/>
        </w:rPr>
        <w:t xml:space="preserve"> Poderá  apresentar 01 (um) profissional responsável por 01 (uma) área, ou 01 (um) profissional responsável por mais de 01 (uma) área, ou 01 (um) profissional responsável por todas as áreas. Contudo, é obrigação da contratada indicar o responsável por cada área.</w:t>
      </w:r>
    </w:p>
    <w:p>
      <w:pPr>
        <w:pStyle w:val="56"/>
        <w:spacing w:afterLines="120" w:line="312" w:lineRule="auto"/>
        <w:ind w:left="251" w:leftChars="0" w:firstLine="709" w:firstLineChars="0"/>
        <w:rPr>
          <w:rFonts w:hint="default"/>
          <w:sz w:val="24"/>
          <w:szCs w:val="24"/>
          <w:lang w:val="pt-BR" w:eastAsia="pt-BR"/>
        </w:rPr>
      </w:pPr>
      <w:r>
        <w:rPr>
          <w:rFonts w:hint="default"/>
          <w:sz w:val="24"/>
          <w:szCs w:val="24"/>
          <w:lang w:val="pt-BR" w:eastAsia="pt-BR"/>
        </w:rPr>
        <w:t xml:space="preserve"> Poderá apresentar 01 (um) profissional responsável por 01 (uma) área, ou 01 (um) profissional responsável por mais de 01 (uma) área, ou 01 (um) profissional responsável por todas as áreas. Contudo, é obrigação da contratada indicar o responsável por cada área.</w:t>
      </w:r>
    </w:p>
    <w:p>
      <w:pPr>
        <w:pStyle w:val="56"/>
        <w:spacing w:afterLines="120" w:line="312" w:lineRule="auto"/>
        <w:ind w:left="251" w:leftChars="0" w:firstLine="709" w:firstLineChars="0"/>
        <w:rPr>
          <w:rFonts w:hint="default"/>
          <w:sz w:val="24"/>
          <w:szCs w:val="24"/>
          <w:lang w:val="pt-BR" w:eastAsia="pt-BR"/>
        </w:rPr>
      </w:pPr>
      <w:r>
        <w:rPr>
          <w:rFonts w:hint="default"/>
          <w:sz w:val="24"/>
          <w:szCs w:val="24"/>
          <w:lang w:val="pt-BR" w:eastAsia="pt-BR"/>
        </w:rPr>
        <w:t xml:space="preserve"> Comprovação da empresa licitante possuir em seu quadro de funcionários técnico em metrologia legal, reconhecido pelo INMETRO.</w:t>
      </w:r>
    </w:p>
    <w:p>
      <w:pPr>
        <w:pStyle w:val="56"/>
        <w:spacing w:afterLines="120" w:line="312" w:lineRule="auto"/>
        <w:ind w:left="251" w:leftChars="0" w:firstLine="709" w:firstLineChars="0"/>
        <w:rPr>
          <w:rFonts w:hint="default"/>
          <w:sz w:val="24"/>
          <w:szCs w:val="24"/>
          <w:lang w:val="pt-BR" w:eastAsia="pt-BR"/>
        </w:rPr>
      </w:pPr>
      <w:r>
        <w:rPr>
          <w:rFonts w:hint="default"/>
          <w:sz w:val="24"/>
          <w:szCs w:val="24"/>
          <w:lang w:val="pt-BR" w:eastAsia="pt-BR"/>
        </w:rPr>
        <w:t xml:space="preserve"> Registro/ autorização da empresa licitante junto ao IPEM/MG INMETRO para manutenção e reparação em balanças</w:t>
      </w:r>
    </w:p>
    <w:p>
      <w:pPr>
        <w:pStyle w:val="56"/>
        <w:spacing w:afterLines="120" w:line="312" w:lineRule="auto"/>
        <w:ind w:left="251" w:leftChars="0" w:firstLine="709" w:firstLineChars="0"/>
        <w:rPr>
          <w:rFonts w:hint="default" w:ascii="Arial" w:hAnsi="Arial" w:cs="Arial"/>
          <w:sz w:val="24"/>
          <w:szCs w:val="24"/>
          <w:lang w:val="pt-BR" w:eastAsia="pt-BR"/>
        </w:rPr>
      </w:pPr>
      <w:r>
        <w:rPr>
          <w:rFonts w:hint="default" w:ascii="Arial" w:hAnsi="Arial" w:cs="Arial"/>
          <w:sz w:val="24"/>
          <w:szCs w:val="24"/>
          <w:lang w:val="pt-BR" w:eastAsia="pt-BR"/>
        </w:rPr>
        <w:t xml:space="preserve"> Registro/ autorização da empresa licitante junto ao IPEM/MG INMETRO para manutenção e reparação aparelhos de pressão arterial “aneroides, coluna de mercúrio e digital”)</w:t>
      </w:r>
    </w:p>
    <w:p>
      <w:pPr>
        <w:pStyle w:val="56"/>
        <w:spacing w:afterLines="120" w:line="312" w:lineRule="auto"/>
        <w:ind w:left="251" w:leftChars="0" w:firstLine="709" w:firstLineChars="0"/>
        <w:rPr>
          <w:rFonts w:hint="default" w:ascii="Arial" w:hAnsi="Arial" w:cs="Arial"/>
          <w:sz w:val="24"/>
          <w:szCs w:val="24"/>
          <w:lang w:val="pt-BR" w:eastAsia="pt-BR"/>
        </w:rPr>
      </w:pPr>
      <w:r>
        <w:rPr>
          <w:rFonts w:hint="default" w:ascii="Arial" w:hAnsi="Arial" w:cs="Arial"/>
          <w:sz w:val="24"/>
          <w:szCs w:val="24"/>
          <w:lang w:val="pt-BR" w:eastAsia="pt-BR"/>
        </w:rPr>
        <w:t xml:space="preserve"> Responsável Tecnio:</w:t>
      </w:r>
    </w:p>
    <w:p>
      <w:pPr>
        <w:pStyle w:val="103"/>
        <w:numPr>
          <w:ilvl w:val="1"/>
          <w:numId w:val="0"/>
        </w:numPr>
        <w:tabs>
          <w:tab w:val="left" w:pos="0"/>
        </w:tabs>
        <w:spacing w:afterLines="120" w:line="312" w:lineRule="auto"/>
        <w:ind w:left="0" w:leftChars="0" w:firstLine="960" w:firstLineChars="480"/>
        <w:rPr>
          <w:rFonts w:hint="default" w:ascii="Arial" w:hAnsi="Arial" w:cs="Arial"/>
          <w:i w:val="0"/>
          <w:iCs w:val="0"/>
          <w:color w:val="auto"/>
          <w:sz w:val="24"/>
          <w:szCs w:val="24"/>
          <w:lang w:val="pt-BR"/>
        </w:rPr>
      </w:pPr>
      <w:r>
        <w:rPr>
          <w:rFonts w:hint="default" w:ascii="Arial" w:hAnsi="Arial" w:cs="Arial"/>
          <w:i w:val="0"/>
          <w:iCs w:val="0"/>
          <w:color w:val="auto"/>
          <w:sz w:val="20"/>
          <w:szCs w:val="20"/>
          <w:lang w:val="pt-BR"/>
        </w:rPr>
        <w:t>8.35.1.</w:t>
      </w:r>
      <w:r>
        <w:rPr>
          <w:rFonts w:hint="default" w:ascii="Arial" w:hAnsi="Arial" w:cs="Arial"/>
          <w:i w:val="0"/>
          <w:iCs w:val="0"/>
          <w:color w:val="auto"/>
          <w:sz w:val="24"/>
          <w:szCs w:val="24"/>
          <w:lang w:val="pt-BR"/>
        </w:rPr>
        <w:t xml:space="preserve"> Comprovação que a empresa licitante possui responsável técnico, engenheiro mecânico e/ou elétrico, registrado no CREA, conforme Decisão Normalizadora de Fiscalização conjunta nº 01/97</w:t>
      </w:r>
    </w:p>
    <w:p>
      <w:pPr>
        <w:pStyle w:val="103"/>
        <w:numPr>
          <w:ilvl w:val="1"/>
          <w:numId w:val="0"/>
        </w:numPr>
        <w:tabs>
          <w:tab w:val="left" w:pos="0"/>
        </w:tabs>
        <w:spacing w:afterLines="120" w:line="312" w:lineRule="auto"/>
        <w:ind w:left="0" w:leftChars="0" w:firstLine="960" w:firstLineChars="480"/>
        <w:rPr>
          <w:rFonts w:hint="default" w:ascii="Arial" w:hAnsi="Arial" w:cs="Arial"/>
          <w:i w:val="0"/>
          <w:iCs w:val="0"/>
          <w:color w:val="auto"/>
          <w:sz w:val="24"/>
          <w:szCs w:val="24"/>
          <w:lang w:val="pt-BR"/>
        </w:rPr>
      </w:pPr>
      <w:r>
        <w:rPr>
          <w:rFonts w:hint="default" w:ascii="Arial" w:hAnsi="Arial" w:cs="Arial"/>
          <w:i w:val="0"/>
          <w:iCs w:val="0"/>
          <w:color w:val="auto"/>
          <w:sz w:val="20"/>
          <w:szCs w:val="20"/>
          <w:lang w:val="pt-BR"/>
        </w:rPr>
        <w:t>8.35.2</w:t>
      </w:r>
      <w:r>
        <w:rPr>
          <w:rFonts w:hint="default" w:ascii="Arial" w:hAnsi="Arial" w:cs="Arial"/>
          <w:i w:val="0"/>
          <w:iCs w:val="0"/>
          <w:color w:val="auto"/>
          <w:sz w:val="24"/>
          <w:szCs w:val="24"/>
          <w:lang w:val="pt-BR"/>
        </w:rPr>
        <w:t xml:space="preserve">  Apresentar certificado de registro junto ao CREA do Responsável Técnico</w:t>
      </w:r>
    </w:p>
    <w:p>
      <w:pPr>
        <w:pStyle w:val="103"/>
        <w:numPr>
          <w:ilvl w:val="1"/>
          <w:numId w:val="0"/>
        </w:numPr>
        <w:tabs>
          <w:tab w:val="left" w:pos="0"/>
        </w:tabs>
        <w:spacing w:afterLines="120" w:line="312" w:lineRule="auto"/>
        <w:ind w:left="0" w:leftChars="0" w:firstLine="960" w:firstLineChars="480"/>
        <w:rPr>
          <w:rFonts w:hint="default" w:ascii="Arial" w:hAnsi="Arial" w:cs="Arial"/>
          <w:i w:val="0"/>
          <w:iCs w:val="0"/>
          <w:color w:val="auto"/>
          <w:sz w:val="24"/>
          <w:szCs w:val="24"/>
          <w:lang w:val="pt-BR"/>
        </w:rPr>
      </w:pPr>
      <w:r>
        <w:rPr>
          <w:rFonts w:hint="default" w:ascii="Arial" w:hAnsi="Arial" w:cs="Arial"/>
          <w:i w:val="0"/>
          <w:iCs w:val="0"/>
          <w:color w:val="auto"/>
          <w:sz w:val="20"/>
          <w:szCs w:val="20"/>
          <w:lang w:val="pt-BR"/>
        </w:rPr>
        <w:t xml:space="preserve">8.35.3. </w:t>
      </w:r>
      <w:r>
        <w:rPr>
          <w:rFonts w:hint="default" w:ascii="Arial" w:hAnsi="Arial" w:cs="Arial"/>
          <w:i w:val="0"/>
          <w:iCs w:val="0"/>
          <w:color w:val="auto"/>
          <w:sz w:val="24"/>
          <w:szCs w:val="24"/>
          <w:lang w:val="pt-BR"/>
        </w:rPr>
        <w:t>Registro da Empresa licitante junto ao CREA, mediante apresentação da Certidão de Registro e Quitação expedida pelo referido órgão, com vigência plena até a data fixada para assinatura do contrato</w:t>
      </w:r>
    </w:p>
    <w:p>
      <w:pPr>
        <w:pStyle w:val="103"/>
        <w:numPr>
          <w:ilvl w:val="1"/>
          <w:numId w:val="0"/>
        </w:numPr>
        <w:tabs>
          <w:tab w:val="left" w:pos="0"/>
        </w:tabs>
        <w:spacing w:afterLines="120" w:line="312" w:lineRule="auto"/>
        <w:ind w:left="0" w:leftChars="0" w:firstLine="960" w:firstLineChars="480"/>
        <w:rPr>
          <w:rFonts w:hint="default" w:ascii="Arial" w:hAnsi="Arial" w:cs="Arial"/>
          <w:i w:val="0"/>
          <w:iCs w:val="0"/>
          <w:color w:val="auto"/>
          <w:sz w:val="24"/>
          <w:szCs w:val="24"/>
          <w:lang w:val="pt-BR"/>
        </w:rPr>
      </w:pPr>
      <w:r>
        <w:rPr>
          <w:rFonts w:hint="default" w:ascii="Arial" w:hAnsi="Arial" w:cs="Arial"/>
          <w:i w:val="0"/>
          <w:iCs w:val="0"/>
          <w:color w:val="auto"/>
          <w:sz w:val="20"/>
          <w:szCs w:val="20"/>
          <w:lang w:val="pt-BR"/>
        </w:rPr>
        <w:t xml:space="preserve">8.35.4. </w:t>
      </w:r>
      <w:r>
        <w:rPr>
          <w:rFonts w:hint="default" w:ascii="Arial" w:hAnsi="Arial" w:cs="Arial"/>
          <w:i w:val="0"/>
          <w:iCs w:val="0"/>
          <w:color w:val="auto"/>
          <w:sz w:val="24"/>
          <w:szCs w:val="24"/>
          <w:lang w:val="pt-BR"/>
        </w:rPr>
        <w:t>A comprovação do vínculo empregatício do profissional, deverá ser feita mediante a apresentação de cópia da carteira de trabalho expedida pelo Ministério do Trabalho ou ficha de registro do empregado. Quando se tratar de dirigente ou sócio da empresa, tal comprovação será realizada mediante a apresentação de cópia do contrato social ou certidão da Junta Comercial, ou ato constitutivo da empresa devidamente atualizado</w:t>
      </w:r>
    </w:p>
    <w:p>
      <w:pPr>
        <w:pStyle w:val="103"/>
        <w:numPr>
          <w:ilvl w:val="1"/>
          <w:numId w:val="0"/>
        </w:numPr>
        <w:tabs>
          <w:tab w:val="left" w:pos="0"/>
        </w:tabs>
        <w:spacing w:afterLines="120" w:line="312" w:lineRule="auto"/>
        <w:ind w:left="0" w:leftChars="0" w:firstLine="960" w:firstLineChars="480"/>
        <w:rPr>
          <w:rFonts w:hint="default" w:ascii="Arial" w:hAnsi="Arial" w:cs="Arial"/>
          <w:i w:val="0"/>
          <w:iCs w:val="0"/>
          <w:color w:val="auto"/>
          <w:sz w:val="24"/>
          <w:szCs w:val="24"/>
          <w:lang w:val="pt-BR"/>
        </w:rPr>
      </w:pPr>
      <w:r>
        <w:rPr>
          <w:rFonts w:hint="default" w:ascii="Arial" w:hAnsi="Arial" w:cs="Arial"/>
          <w:i w:val="0"/>
          <w:iCs w:val="0"/>
          <w:color w:val="auto"/>
          <w:sz w:val="20"/>
          <w:szCs w:val="20"/>
          <w:lang w:val="pt-BR"/>
        </w:rPr>
        <w:t xml:space="preserve">8.35.5. </w:t>
      </w:r>
      <w:r>
        <w:rPr>
          <w:rFonts w:hint="default" w:ascii="Arial" w:hAnsi="Arial" w:cs="Arial"/>
          <w:i w:val="0"/>
          <w:iCs w:val="0"/>
          <w:color w:val="auto"/>
          <w:sz w:val="24"/>
          <w:szCs w:val="24"/>
          <w:lang w:val="pt-BR"/>
        </w:rPr>
        <w:t xml:space="preserve">Comprovação de aptidão para o fornecimento de </w:t>
      </w:r>
      <w:permStart w:id="14" w:edGrp="everyone"/>
      <w:r>
        <w:rPr>
          <w:rFonts w:hint="default" w:ascii="Arial" w:hAnsi="Arial" w:cs="Arial"/>
          <w:i w:val="0"/>
          <w:iCs w:val="0"/>
          <w:color w:val="auto"/>
          <w:sz w:val="24"/>
          <w:szCs w:val="24"/>
          <w:lang w:val="pt-BR"/>
        </w:rPr>
        <w:t xml:space="preserve">bens/serviços </w:t>
      </w:r>
      <w:permEnd w:id="14"/>
      <w:r>
        <w:rPr>
          <w:rFonts w:hint="default" w:ascii="Arial" w:hAnsi="Arial" w:cs="Arial"/>
          <w:i w:val="0"/>
          <w:iCs w:val="0"/>
          <w:color w:val="auto"/>
          <w:sz w:val="24"/>
          <w:szCs w:val="24"/>
          <w:lang w:val="pt-BR"/>
        </w:rPr>
        <w:t>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56"/>
        <w:spacing w:afterLines="120" w:line="312" w:lineRule="auto"/>
        <w:ind w:left="251" w:leftChars="0" w:firstLine="709" w:firstLineChars="0"/>
        <w:rPr>
          <w:rFonts w:hint="default" w:ascii="Arial" w:hAnsi="Arial" w:cs="Arial"/>
          <w:sz w:val="24"/>
          <w:szCs w:val="24"/>
          <w:highlight w:val="yellow"/>
        </w:rPr>
      </w:pPr>
      <w:permStart w:id="15" w:edGrp="everyone"/>
      <w:r>
        <w:rPr>
          <w:rFonts w:hint="default" w:ascii="Arial" w:hAnsi="Arial" w:cs="Arial"/>
          <w:sz w:val="24"/>
          <w:szCs w:val="24"/>
          <w:highlight w:val="yellow"/>
          <w:lang w:val="pt-BR"/>
        </w:rPr>
        <w:t xml:space="preserve">Será adminitida, para fins de comprovação de quantitativo mínimo, a apresentação e o somatório de diferentes atestados executados de forma concomitante. </w:t>
      </w:r>
    </w:p>
    <w:p>
      <w:pPr>
        <w:pStyle w:val="56"/>
        <w:spacing w:afterLines="120" w:line="312" w:lineRule="auto"/>
        <w:ind w:left="251" w:leftChars="0" w:firstLine="709" w:firstLineChars="0"/>
        <w:rPr>
          <w:rFonts w:hint="default" w:ascii="Arial" w:hAnsi="Arial" w:cs="Arial"/>
          <w:sz w:val="24"/>
          <w:szCs w:val="24"/>
          <w:highlight w:val="yellow"/>
        </w:rPr>
      </w:pPr>
      <w:r>
        <w:rPr>
          <w:rFonts w:hint="default" w:ascii="Arial" w:hAnsi="Arial" w:cs="Arial"/>
          <w:sz w:val="24"/>
          <w:szCs w:val="24"/>
          <w:highlight w:val="yellow"/>
          <w:lang w:val="pt-BR"/>
        </w:rPr>
        <w:t>Os atestados de capacidade técnica poderão ser apresentados em nome da matriz ou da filial do fornecedor.</w:t>
      </w:r>
    </w:p>
    <w:p>
      <w:pPr>
        <w:pStyle w:val="56"/>
        <w:spacing w:afterLines="120" w:line="312" w:lineRule="auto"/>
        <w:ind w:left="251" w:leftChars="0" w:firstLine="709" w:firstLineChars="0"/>
        <w:rPr>
          <w:rFonts w:hint="default" w:ascii="Arial" w:hAnsi="Arial" w:cs="Arial"/>
          <w:sz w:val="24"/>
          <w:szCs w:val="24"/>
          <w:highlight w:val="yellow"/>
        </w:rPr>
      </w:pPr>
      <w:r>
        <w:rPr>
          <w:rFonts w:hint="default" w:ascii="Arial" w:hAnsi="Arial" w:cs="Arial"/>
          <w:sz w:val="24"/>
          <w:szCs w:val="24"/>
          <w:highlight w:val="yellow"/>
          <w:lang w:val="pt-BR"/>
        </w:rPr>
        <w:t>O fronecedor disponibilizará todas as informações necessárias á comprovação da legitimidade dos atestado, apresentados, quando solicitado pela Administração, cópia do contrato que deu suporte à contratação , endereço atual da Administração, cópia do contrato que deu suporte à contratação, endereço atual da contratante e local em que foi executado o objeto contratado, dentre outros documentos.</w:t>
      </w:r>
    </w:p>
    <w:p>
      <w:pPr>
        <w:pStyle w:val="56"/>
        <w:spacing w:afterLines="120" w:line="312" w:lineRule="auto"/>
        <w:ind w:left="251" w:leftChars="0" w:firstLine="709" w:firstLineChars="0"/>
        <w:rPr>
          <w:rFonts w:hint="default" w:ascii="Arial" w:hAnsi="Arial" w:cs="Arial"/>
          <w:sz w:val="24"/>
          <w:szCs w:val="24"/>
          <w:highlight w:val="yellow"/>
        </w:rPr>
      </w:pPr>
      <w:r>
        <w:rPr>
          <w:rFonts w:hint="default" w:ascii="Arial" w:hAnsi="Arial" w:cs="Arial"/>
          <w:sz w:val="24"/>
          <w:szCs w:val="24"/>
          <w:highlight w:val="yellow"/>
        </w:rPr>
        <w:t>Caso admitida a participação de cooperativas, será exigida a seguinte documentação complementar:</w:t>
      </w:r>
    </w:p>
    <w:p>
      <w:pPr>
        <w:pStyle w:val="58"/>
        <w:spacing w:afterLines="120" w:line="312" w:lineRule="auto"/>
        <w:ind w:left="170" w:firstLine="709"/>
        <w:rPr>
          <w:sz w:val="24"/>
          <w:szCs w:val="24"/>
          <w:highlight w:val="yellow"/>
        </w:rPr>
      </w:pPr>
      <w:r>
        <w:rPr>
          <w:sz w:val="24"/>
          <w:szCs w:val="24"/>
          <w:highlight w:val="yellow"/>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r>
        <w:fldChar w:fldCharType="begin"/>
      </w:r>
      <w:r>
        <w:instrText xml:space="preserve"> HYPERLINK "https://www.planalto.gov.br/ccivil_03/leis/l5764.htm" \l "art4" </w:instrText>
      </w:r>
      <w:r>
        <w:fldChar w:fldCharType="separate"/>
      </w:r>
      <w:r>
        <w:rPr>
          <w:rStyle w:val="13"/>
          <w:sz w:val="24"/>
          <w:szCs w:val="24"/>
        </w:rPr>
        <w:t>arts. 4º, inciso XI, 21, inciso I</w:t>
      </w:r>
      <w:r>
        <w:rPr>
          <w:rStyle w:val="13"/>
          <w:sz w:val="24"/>
          <w:szCs w:val="24"/>
        </w:rPr>
        <w:fldChar w:fldCharType="end"/>
      </w:r>
      <w:r>
        <w:rPr>
          <w:sz w:val="24"/>
          <w:szCs w:val="24"/>
          <w:highlight w:val="yellow"/>
        </w:rPr>
        <w:t xml:space="preserve"> e </w:t>
      </w:r>
      <w:r>
        <w:fldChar w:fldCharType="begin"/>
      </w:r>
      <w:r>
        <w:instrText xml:space="preserve"> HYPERLINK "https://www.planalto.gov.br/ccivil_03/leis/l5764.htm" \l "art42" </w:instrText>
      </w:r>
      <w:r>
        <w:fldChar w:fldCharType="separate"/>
      </w:r>
      <w:r>
        <w:rPr>
          <w:rStyle w:val="13"/>
          <w:sz w:val="24"/>
          <w:szCs w:val="24"/>
        </w:rPr>
        <w:t>42, §§2º a 6º da Lei n. 5.764, de 1971</w:t>
      </w:r>
      <w:r>
        <w:rPr>
          <w:rStyle w:val="13"/>
          <w:sz w:val="24"/>
          <w:szCs w:val="24"/>
        </w:rPr>
        <w:fldChar w:fldCharType="end"/>
      </w:r>
      <w:r>
        <w:rPr>
          <w:sz w:val="24"/>
          <w:szCs w:val="24"/>
          <w:highlight w:val="yellow"/>
        </w:rPr>
        <w:t>;</w:t>
      </w:r>
    </w:p>
    <w:p>
      <w:pPr>
        <w:pStyle w:val="58"/>
        <w:spacing w:afterLines="120" w:line="312" w:lineRule="auto"/>
        <w:ind w:left="170" w:firstLine="709"/>
        <w:rPr>
          <w:sz w:val="24"/>
          <w:szCs w:val="24"/>
          <w:highlight w:val="yellow"/>
        </w:rPr>
      </w:pPr>
      <w:r>
        <w:rPr>
          <w:sz w:val="24"/>
          <w:szCs w:val="24"/>
          <w:highlight w:val="yellow"/>
        </w:rPr>
        <w:t>A declaração de regularidade de situação do contribuinte individual – DRSCI, para cada um dos cooperados indicados;</w:t>
      </w:r>
    </w:p>
    <w:p>
      <w:pPr>
        <w:pStyle w:val="58"/>
        <w:spacing w:afterLines="120" w:line="312" w:lineRule="auto"/>
        <w:ind w:left="170" w:firstLine="709"/>
        <w:rPr>
          <w:sz w:val="24"/>
          <w:szCs w:val="24"/>
          <w:highlight w:val="yellow"/>
        </w:rPr>
      </w:pPr>
      <w:r>
        <w:rPr>
          <w:sz w:val="24"/>
          <w:szCs w:val="24"/>
          <w:highlight w:val="yellow"/>
        </w:rPr>
        <w:t xml:space="preserve">A comprovação do capital social proporcional ao número de cooperados necessários à prestação do serviço; </w:t>
      </w:r>
    </w:p>
    <w:p>
      <w:pPr>
        <w:pStyle w:val="58"/>
        <w:spacing w:afterLines="120" w:line="312" w:lineRule="auto"/>
        <w:ind w:left="170" w:firstLine="709"/>
        <w:rPr>
          <w:sz w:val="24"/>
          <w:szCs w:val="24"/>
          <w:highlight w:val="yellow"/>
        </w:rPr>
      </w:pPr>
      <w:r>
        <w:rPr>
          <w:sz w:val="24"/>
          <w:szCs w:val="24"/>
          <w:highlight w:val="yellow"/>
        </w:rPr>
        <w:t xml:space="preserve">O registro previsto na </w:t>
      </w:r>
      <w:r>
        <w:fldChar w:fldCharType="begin"/>
      </w:r>
      <w:r>
        <w:instrText xml:space="preserve"> HYPERLINK "https://www.planalto.gov.br/ccivil_03/leis/l5764.htm" \l "art107" </w:instrText>
      </w:r>
      <w:r>
        <w:fldChar w:fldCharType="separate"/>
      </w:r>
      <w:r>
        <w:rPr>
          <w:rStyle w:val="13"/>
          <w:sz w:val="24"/>
          <w:szCs w:val="24"/>
        </w:rPr>
        <w:t>Lei n. 5.764, de 1971, art. 107</w:t>
      </w:r>
      <w:r>
        <w:rPr>
          <w:rStyle w:val="13"/>
          <w:sz w:val="24"/>
          <w:szCs w:val="24"/>
        </w:rPr>
        <w:fldChar w:fldCharType="end"/>
      </w:r>
      <w:r>
        <w:rPr>
          <w:sz w:val="24"/>
          <w:szCs w:val="24"/>
          <w:highlight w:val="yellow"/>
        </w:rPr>
        <w:t>;</w:t>
      </w:r>
    </w:p>
    <w:p>
      <w:pPr>
        <w:pStyle w:val="58"/>
        <w:spacing w:afterLines="120" w:line="312" w:lineRule="auto"/>
        <w:ind w:left="170" w:firstLine="709"/>
        <w:rPr>
          <w:sz w:val="24"/>
          <w:szCs w:val="24"/>
          <w:highlight w:val="yellow"/>
        </w:rPr>
      </w:pPr>
      <w:r>
        <w:rPr>
          <w:sz w:val="24"/>
          <w:szCs w:val="24"/>
          <w:highlight w:val="yellow"/>
        </w:rPr>
        <w:t xml:space="preserve"> A comprovação de integração das respectivas quotas-partes por parte dos cooperados que executarão o contrato; e</w:t>
      </w:r>
    </w:p>
    <w:p>
      <w:pPr>
        <w:pStyle w:val="58"/>
        <w:spacing w:afterLines="120" w:line="312" w:lineRule="auto"/>
        <w:ind w:left="170" w:firstLine="709"/>
        <w:rPr>
          <w:sz w:val="24"/>
          <w:szCs w:val="24"/>
          <w:highlight w:val="yellow"/>
        </w:rPr>
      </w:pPr>
      <w:r>
        <w:rPr>
          <w:sz w:val="24"/>
          <w:szCs w:val="24"/>
          <w:highlight w:val="yellow"/>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58"/>
        <w:spacing w:afterLines="120" w:line="312" w:lineRule="auto"/>
        <w:ind w:left="170" w:firstLine="709"/>
        <w:rPr>
          <w:sz w:val="24"/>
          <w:szCs w:val="24"/>
          <w:highlight w:val="yellow"/>
        </w:rPr>
      </w:pPr>
      <w:r>
        <w:rPr>
          <w:sz w:val="24"/>
          <w:szCs w:val="24"/>
          <w:highlight w:val="yellow"/>
        </w:rPr>
        <w:t xml:space="preserve">A última auditoria contábil-financeira da cooperativa, conforme dispõe o </w:t>
      </w:r>
      <w:r>
        <w:fldChar w:fldCharType="begin"/>
      </w:r>
      <w:r>
        <w:instrText xml:space="preserve"> HYPERLINK "https://www.planalto.gov.br/ccivil_03/leis/l5764.htm" \l "art112" </w:instrText>
      </w:r>
      <w:r>
        <w:fldChar w:fldCharType="separate"/>
      </w:r>
      <w:r>
        <w:rPr>
          <w:rStyle w:val="13"/>
          <w:sz w:val="24"/>
          <w:szCs w:val="24"/>
        </w:rPr>
        <w:t>art. 112 da Lei n. 5.764, de 1971</w:t>
      </w:r>
      <w:r>
        <w:rPr>
          <w:rStyle w:val="13"/>
          <w:sz w:val="24"/>
          <w:szCs w:val="24"/>
        </w:rPr>
        <w:fldChar w:fldCharType="end"/>
      </w:r>
      <w:r>
        <w:rPr>
          <w:sz w:val="24"/>
          <w:szCs w:val="24"/>
          <w:highlight w:val="yellow"/>
        </w:rPr>
        <w:t>, ou uma declaração, sob as penas da lei, de que tal auditoria não foi exigida pelo órgão fiscalizador.</w:t>
      </w:r>
    </w:p>
    <w:permEnd w:id="15"/>
    <w:p>
      <w:pPr>
        <w:pStyle w:val="39"/>
        <w:spacing w:before="120" w:afterLines="120" w:line="312" w:lineRule="auto"/>
        <w:rPr>
          <w:sz w:val="24"/>
          <w:szCs w:val="24"/>
        </w:rPr>
      </w:pPr>
      <w:r>
        <w:rPr>
          <w:sz w:val="24"/>
          <w:szCs w:val="24"/>
        </w:rPr>
        <w:t>ESTIMATIVAS DO VALOR DA CONTRATAÇÃO</w:t>
      </w:r>
    </w:p>
    <w:p>
      <w:pPr>
        <w:pStyle w:val="103"/>
        <w:spacing w:afterLines="120" w:line="312" w:lineRule="auto"/>
        <w:ind w:left="251" w:leftChars="0" w:firstLine="709" w:firstLineChars="0"/>
        <w:rPr>
          <w:b/>
          <w:bCs/>
          <w:i w:val="0"/>
          <w:iCs w:val="0"/>
          <w:color w:val="auto"/>
          <w:sz w:val="24"/>
          <w:szCs w:val="24"/>
          <w:highlight w:val="yellow"/>
        </w:rPr>
      </w:pPr>
      <w:permStart w:id="16" w:edGrp="everyone"/>
      <w:r>
        <w:rPr>
          <w:i w:val="0"/>
          <w:iCs w:val="0"/>
          <w:color w:val="auto"/>
          <w:sz w:val="24"/>
          <w:szCs w:val="24"/>
          <w:highlight w:val="yellow"/>
        </w:rPr>
        <w:t>O custo estimado total da contratação é de R$</w:t>
      </w:r>
      <w:r>
        <w:rPr>
          <w:rFonts w:hint="default"/>
          <w:i w:val="0"/>
          <w:iCs w:val="0"/>
          <w:color w:val="auto"/>
          <w:sz w:val="24"/>
          <w:szCs w:val="24"/>
          <w:highlight w:val="yellow"/>
          <w:lang w:val="pt-BR"/>
        </w:rPr>
        <w:t xml:space="preserve"> 398.311,66</w:t>
      </w:r>
      <w:r>
        <w:rPr>
          <w:i w:val="0"/>
          <w:iCs w:val="0"/>
          <w:color w:val="auto"/>
          <w:sz w:val="24"/>
          <w:szCs w:val="24"/>
          <w:highlight w:val="yellow"/>
        </w:rPr>
        <w:t>... (</w:t>
      </w:r>
      <w:r>
        <w:rPr>
          <w:rFonts w:ascii="Helvetica" w:hAnsi="Helvetica" w:eastAsia="Helvetica" w:cs="Helvetica"/>
          <w:b w:val="0"/>
          <w:bCs w:val="0"/>
          <w:i w:val="0"/>
          <w:iCs w:val="0"/>
          <w:caps w:val="0"/>
          <w:color w:val="auto"/>
          <w:spacing w:val="0"/>
          <w:sz w:val="24"/>
          <w:szCs w:val="24"/>
          <w:shd w:val="clear" w:color="auto" w:fill="auto"/>
        </w:rPr>
        <w:t>trezentos e noventa e oito mil trezentos e onze reais e sessenta e seis centavos</w:t>
      </w:r>
      <w:r>
        <w:rPr>
          <w:b w:val="0"/>
          <w:bCs w:val="0"/>
          <w:i w:val="0"/>
          <w:iCs w:val="0"/>
          <w:color w:val="auto"/>
          <w:sz w:val="24"/>
          <w:szCs w:val="24"/>
          <w:highlight w:val="yellow"/>
          <w:shd w:val="clear" w:color="auto" w:fill="auto"/>
        </w:rPr>
        <w:t>)</w:t>
      </w:r>
      <w:r>
        <w:rPr>
          <w:rFonts w:hint="default"/>
          <w:b w:val="0"/>
          <w:bCs w:val="0"/>
          <w:i w:val="0"/>
          <w:iCs w:val="0"/>
          <w:color w:val="auto"/>
          <w:sz w:val="24"/>
          <w:szCs w:val="24"/>
          <w:highlight w:val="yellow"/>
          <w:shd w:val="clear" w:color="auto" w:fill="auto"/>
          <w:lang w:val="pt-BR"/>
        </w:rPr>
        <w:t>.</w:t>
      </w:r>
    </w:p>
    <w:permEnd w:id="16"/>
    <w:p>
      <w:pPr>
        <w:pStyle w:val="103"/>
        <w:spacing w:afterLines="120" w:line="312" w:lineRule="auto"/>
        <w:ind w:left="251" w:leftChars="0" w:firstLine="709" w:firstLineChars="0"/>
        <w:rPr>
          <w:i w:val="0"/>
          <w:iCs w:val="0"/>
          <w:color w:val="auto"/>
          <w:sz w:val="24"/>
          <w:szCs w:val="24"/>
        </w:rPr>
      </w:pPr>
      <w:r>
        <w:rPr>
          <w:i w:val="0"/>
          <w:iCs w:val="0"/>
          <w:color w:val="auto"/>
          <w:sz w:val="24"/>
          <w:szCs w:val="24"/>
        </w:rPr>
        <w:t>A estimativa de custo levou em consideração o risco envolvido na contratação e sua alocação entre contratante e contratado, conforme especificado na matriz de risco constante do Contrato.</w:t>
      </w:r>
    </w:p>
    <w:p>
      <w:pPr>
        <w:pStyle w:val="39"/>
        <w:spacing w:before="120" w:afterLines="120" w:line="312" w:lineRule="auto"/>
        <w:rPr>
          <w:sz w:val="24"/>
          <w:szCs w:val="24"/>
        </w:rPr>
      </w:pPr>
      <w:r>
        <w:rPr>
          <w:sz w:val="24"/>
          <w:szCs w:val="24"/>
        </w:rPr>
        <w:t>ADEQUAÇÃO ORÇAMENTÁRIA</w:t>
      </w:r>
    </w:p>
    <w:p>
      <w:pPr>
        <w:pStyle w:val="56"/>
        <w:spacing w:afterLines="120" w:line="312" w:lineRule="auto"/>
        <w:ind w:left="251" w:leftChars="0" w:firstLine="709" w:firstLineChars="0"/>
        <w:rPr>
          <w:sz w:val="24"/>
          <w:szCs w:val="24"/>
        </w:rPr>
      </w:pPr>
      <w:r>
        <w:rPr>
          <w:rFonts w:eastAsia="Arial"/>
          <w:sz w:val="24"/>
          <w:szCs w:val="24"/>
        </w:rPr>
        <w:t>As despesas decorrentes da presente contratação correrão à conta de recursos específicos consignados no Orçamento Geral do Município.</w:t>
      </w:r>
    </w:p>
    <w:bookmarkEnd w:id="0"/>
    <w:p>
      <w:pPr>
        <w:spacing w:before="120" w:afterLines="120" w:line="312" w:lineRule="auto"/>
        <w:ind w:left="357"/>
        <w:jc w:val="center"/>
        <w:rPr>
          <w:rFonts w:hint="default" w:ascii="Arial" w:hAnsi="Arial" w:eastAsia="Arial" w:cs="Arial"/>
          <w:lang w:val="pt-BR"/>
        </w:rPr>
      </w:pPr>
      <w:permStart w:id="17" w:edGrp="everyone"/>
    </w:p>
    <w:p>
      <w:pPr>
        <w:spacing w:before="120" w:afterLines="120" w:line="312" w:lineRule="auto"/>
        <w:ind w:left="357"/>
        <w:jc w:val="center"/>
        <w:rPr>
          <w:rFonts w:hint="default" w:ascii="Arial" w:hAnsi="Arial" w:eastAsia="Arial" w:cs="Arial"/>
          <w:lang w:val="pt-BR"/>
        </w:rPr>
      </w:pPr>
    </w:p>
    <w:p>
      <w:pPr>
        <w:spacing w:before="120" w:afterLines="120" w:line="312" w:lineRule="auto"/>
        <w:ind w:left="357"/>
        <w:jc w:val="center"/>
        <w:rPr>
          <w:rFonts w:hint="default" w:ascii="Arial" w:hAnsi="Arial" w:eastAsia="Arial" w:cs="Arial"/>
          <w:lang w:val="pt-BR"/>
        </w:rPr>
      </w:pPr>
      <w:r>
        <w:rPr>
          <w:rFonts w:hint="default" w:ascii="Arial" w:hAnsi="Arial" w:eastAsia="Arial" w:cs="Arial"/>
          <w:lang w:val="pt-BR"/>
        </w:rPr>
        <w:t>Arcos/MG, 05 de Junho de 2023</w:t>
      </w:r>
    </w:p>
    <w:p>
      <w:pPr>
        <w:spacing w:before="120" w:afterLines="120" w:line="312" w:lineRule="auto"/>
        <w:ind w:left="357"/>
        <w:jc w:val="center"/>
        <w:rPr>
          <w:rFonts w:hint="default" w:ascii="Arial" w:hAnsi="Arial" w:eastAsia="Arial" w:cs="Arial"/>
          <w:lang w:val="pt-BR"/>
        </w:rPr>
      </w:pPr>
    </w:p>
    <w:p>
      <w:pPr>
        <w:spacing w:before="120" w:afterLines="120" w:line="312" w:lineRule="auto"/>
        <w:ind w:left="357"/>
        <w:jc w:val="center"/>
        <w:rPr>
          <w:rFonts w:hint="default" w:ascii="Arial" w:hAnsi="Arial" w:eastAsia="Arial" w:cs="Arial"/>
          <w:lang w:val="pt-BR"/>
        </w:rPr>
      </w:pPr>
    </w:p>
    <w:p>
      <w:pPr>
        <w:spacing w:before="120" w:afterLines="120" w:line="312" w:lineRule="auto"/>
        <w:ind w:left="357"/>
        <w:jc w:val="center"/>
        <w:rPr>
          <w:rFonts w:hint="default" w:ascii="Arial" w:hAnsi="Arial" w:eastAsia="Arial" w:cs="Arial"/>
          <w:lang w:val="pt-BR"/>
        </w:rPr>
      </w:pPr>
    </w:p>
    <w:p>
      <w:pPr>
        <w:spacing w:before="120" w:afterLines="120" w:line="312" w:lineRule="auto"/>
        <w:ind w:left="357"/>
        <w:jc w:val="center"/>
        <w:rPr>
          <w:rFonts w:ascii="Arial" w:hAnsi="Arial" w:eastAsia="Arial" w:cs="Arial"/>
        </w:rPr>
      </w:pPr>
      <w:r>
        <w:rPr>
          <w:rFonts w:ascii="Arial" w:hAnsi="Arial" w:eastAsia="Arial" w:cs="Arial"/>
        </w:rPr>
        <w:t>__________________________________</w:t>
      </w: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b/>
          <w:bCs/>
          <w:lang w:val="pt-BR"/>
        </w:rPr>
      </w:pPr>
      <w:r>
        <w:rPr>
          <w:rFonts w:hint="default" w:ascii="Arial" w:hAnsi="Arial" w:cs="Arial"/>
          <w:b/>
          <w:bCs/>
          <w:lang w:val="pt-BR"/>
        </w:rPr>
        <w:t>Tiago Carvalho de Oliveira</w:t>
      </w: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r>
        <w:rPr>
          <w:rFonts w:hint="default" w:ascii="Arial" w:hAnsi="Arial" w:cs="Arial"/>
          <w:lang w:val="pt-BR"/>
        </w:rPr>
        <w:t>Secretário Municipal de Saúde</w:t>
      </w: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p>
    <w:p>
      <w:pPr>
        <w:keepNext w:val="0"/>
        <w:keepLines w:val="0"/>
        <w:pageBreakBefore w:val="0"/>
        <w:widowControl/>
        <w:kinsoku/>
        <w:wordWrap/>
        <w:overflowPunct/>
        <w:topLinePunct w:val="0"/>
        <w:autoSpaceDE/>
        <w:autoSpaceDN/>
        <w:bidi w:val="0"/>
        <w:adjustRightInd/>
        <w:snapToGrid/>
        <w:spacing w:line="312" w:lineRule="auto"/>
        <w:ind w:left="363"/>
        <w:jc w:val="left"/>
        <w:textAlignment w:val="auto"/>
        <w:rPr>
          <w:rFonts w:hint="default" w:ascii="Arial" w:hAnsi="Arial" w:cs="Arial"/>
          <w:lang w:val="pt-BR"/>
        </w:rPr>
      </w:pPr>
      <w:r>
        <w:rPr>
          <w:rFonts w:hint="default" w:ascii="Arial" w:hAnsi="Arial" w:cs="Arial"/>
          <w:lang w:val="pt-BR"/>
        </w:rPr>
        <w:t>Retificado em 21/06/2023 - Quantitativo</w:t>
      </w:r>
      <w:permEnd w:id="17"/>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b/>
        <w:bCs/>
        <w:sz w:val="26"/>
        <w:szCs w:val="26"/>
      </w:rPr>
    </w:pPr>
    <w:r>
      <w:rPr>
        <w:rFonts w:ascii="Arial" w:hAnsi="Arial" w:cs="Arial"/>
        <w:b/>
        <w:bCs/>
        <w:sz w:val="26"/>
        <w:szCs w:val="26"/>
      </w:rPr>
      <w:drawing>
        <wp:anchor distT="0" distB="0" distL="114300" distR="114300" simplePos="0" relativeHeight="251659264" behindDoc="0" locked="0" layoutInCell="1" allowOverlap="1">
          <wp:simplePos x="0" y="0"/>
          <wp:positionH relativeFrom="column">
            <wp:posOffset>110490</wp:posOffset>
          </wp:positionH>
          <wp:positionV relativeFrom="paragraph">
            <wp:posOffset>-35560</wp:posOffset>
          </wp:positionV>
          <wp:extent cx="683260" cy="831215"/>
          <wp:effectExtent l="0" t="0" r="2540" b="698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cstate="print">
                    <a:extLst>
                      <a:ext uri="{28A0092B-C50C-407E-A947-70E740481C1C}">
                        <a14:useLocalDpi xmlns:a14="http://schemas.microsoft.com/office/drawing/2010/main" val="0"/>
                      </a:ext>
                    </a:extLst>
                  </a:blip>
                  <a:srcRect l="9888" t="6408" r="8209" b="3541"/>
                  <a:stretch>
                    <a:fillRect/>
                  </a:stretch>
                </pic:blipFill>
                <pic:spPr>
                  <a:xfrm>
                    <a:off x="0" y="0"/>
                    <a:ext cx="683260" cy="831215"/>
                  </a:xfrm>
                  <a:prstGeom prst="rect">
                    <a:avLst/>
                  </a:prstGeom>
                </pic:spPr>
              </pic:pic>
            </a:graphicData>
          </a:graphic>
        </wp:anchor>
      </w:drawing>
    </w:r>
    <w:r>
      <w:rPr>
        <w:rFonts w:ascii="Arial" w:hAnsi="Arial" w:cs="Arial"/>
        <w:b/>
        <w:bCs/>
        <w:sz w:val="26"/>
        <w:szCs w:val="26"/>
      </w:rPr>
      <w:t>Prefeitura Municipal de Arcos</w:t>
    </w:r>
  </w:p>
  <w:p>
    <w:pPr>
      <w:pStyle w:val="21"/>
      <w:tabs>
        <w:tab w:val="left" w:pos="204"/>
        <w:tab w:val="left" w:pos="405"/>
        <w:tab w:val="center" w:pos="4677"/>
      </w:tabs>
      <w:jc w:val="center"/>
      <w:rPr>
        <w:rFonts w:ascii="Arial" w:hAnsi="Arial" w:cs="Arial"/>
      </w:rPr>
    </w:pPr>
    <w:r>
      <w:rPr>
        <w:rFonts w:ascii="Arial" w:hAnsi="Arial" w:cs="Arial"/>
      </w:rPr>
      <w:t>Estado de Minas Gerais</w:t>
    </w:r>
  </w:p>
  <w:p>
    <w:pPr>
      <w:pStyle w:val="21"/>
      <w:jc w:val="center"/>
      <w:rPr>
        <w:rFonts w:ascii="Arial" w:hAnsi="Arial" w:cs="Arial"/>
        <w:sz w:val="18"/>
        <w:szCs w:val="18"/>
      </w:rPr>
    </w:pPr>
    <w:r>
      <w:rPr>
        <w:rFonts w:ascii="Arial" w:hAnsi="Arial" w:cs="Arial"/>
        <w:sz w:val="18"/>
        <w:szCs w:val="18"/>
      </w:rPr>
      <w:t>Rua Getúlio Vargas, nº 228 – Bairro Centro – Arcos – MG – CEP 35588-000</w:t>
    </w:r>
  </w:p>
  <w:p>
    <w:pPr>
      <w:pStyle w:val="21"/>
      <w:jc w:val="center"/>
      <w:rPr>
        <w:rFonts w:ascii="Arial" w:hAnsi="Arial" w:cs="Arial"/>
        <w:sz w:val="21"/>
        <w:szCs w:val="21"/>
      </w:rPr>
    </w:pPr>
    <w:r>
      <w:rPr>
        <w:rFonts w:ascii="Arial" w:hAnsi="Arial" w:cs="Arial"/>
        <w:sz w:val="18"/>
        <w:szCs w:val="18"/>
      </w:rPr>
      <w:t xml:space="preserve">CNPJ: 18.306.662/0001-50 - Telefone: (37) 3359-7900 Email: </w:t>
    </w:r>
    <w:r>
      <w:rPr>
        <w:rFonts w:ascii="Arial" w:hAnsi="Arial"/>
        <w:sz w:val="18"/>
        <w:szCs w:val="18"/>
      </w:rPr>
      <w:t>arcoslicita@arcos.mg.gov.br</w:t>
    </w:r>
  </w:p>
  <w:p>
    <w:pPr>
      <w:pStyle w:val="21"/>
      <w:jc w:val="center"/>
    </w:pPr>
    <w: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1250"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attachedTemplate r:id="rId1"/>
  <w:documentProtection w:edit="readOnly"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6E57"/>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000"/>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962"/>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BBE"/>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B7733"/>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E7E68"/>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01AC"/>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2D59A6"/>
    <w:rsid w:val="1C3EC466"/>
    <w:rsid w:val="1C8CA1DF"/>
    <w:rsid w:val="1D38DAFD"/>
    <w:rsid w:val="1D7F3761"/>
    <w:rsid w:val="21D19061"/>
    <w:rsid w:val="21E662A0"/>
    <w:rsid w:val="225CA34E"/>
    <w:rsid w:val="23272055"/>
    <w:rsid w:val="242F06C7"/>
    <w:rsid w:val="24DF3391"/>
    <w:rsid w:val="258A4CD0"/>
    <w:rsid w:val="2657C157"/>
    <w:rsid w:val="26789B7A"/>
    <w:rsid w:val="27D707DD"/>
    <w:rsid w:val="27DB6A86"/>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3F08349E"/>
    <w:rsid w:val="40993BDC"/>
    <w:rsid w:val="411272C2"/>
    <w:rsid w:val="4284D176"/>
    <w:rsid w:val="42E0FEE6"/>
    <w:rsid w:val="446868FA"/>
    <w:rsid w:val="449EE389"/>
    <w:rsid w:val="44A8FB23"/>
    <w:rsid w:val="4638CD78"/>
    <w:rsid w:val="464A2176"/>
    <w:rsid w:val="471E9E97"/>
    <w:rsid w:val="484339E3"/>
    <w:rsid w:val="48703D10"/>
    <w:rsid w:val="488555AF"/>
    <w:rsid w:val="48C08A7A"/>
    <w:rsid w:val="4AD3BACB"/>
    <w:rsid w:val="4B428375"/>
    <w:rsid w:val="4B8F2946"/>
    <w:rsid w:val="4D338AB3"/>
    <w:rsid w:val="4E457E13"/>
    <w:rsid w:val="4E973839"/>
    <w:rsid w:val="4E9D4F72"/>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745BA1"/>
    <w:rsid w:val="61981D74"/>
    <w:rsid w:val="61D6BAE2"/>
    <w:rsid w:val="631B0288"/>
    <w:rsid w:val="633AA146"/>
    <w:rsid w:val="64D671A7"/>
    <w:rsid w:val="650E5BA4"/>
    <w:rsid w:val="67AF5CA0"/>
    <w:rsid w:val="6CB288AC"/>
    <w:rsid w:val="6CB29864"/>
    <w:rsid w:val="6CDEAB8A"/>
    <w:rsid w:val="6DAB702B"/>
    <w:rsid w:val="6DC856C3"/>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003F2D"/>
    <w:rsid w:val="7C19F02A"/>
    <w:rsid w:val="7C8C28EB"/>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ão1"/>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paragraph" w:customStyle="1" w:styleId="117">
    <w:name w:val="Default"/>
    <w:qFormat/>
    <w:uiPriority w:val="0"/>
    <w:pPr>
      <w:autoSpaceDE w:val="0"/>
      <w:autoSpaceDN w:val="0"/>
      <w:adjustRightInd w:val="0"/>
    </w:pPr>
    <w:rPr>
      <w:rFonts w:ascii="Arial" w:hAnsi="Arial" w:eastAsia="SimSun" w:cs="Arial"/>
      <w:color w:val="000000"/>
      <w:sz w:val="24"/>
      <w:szCs w:val="24"/>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62052-D844-467A-AC8D-623B16AA7605}">
  <ds:schemaRefs/>
</ds:datastoreItem>
</file>

<file path=customXml/itemProps3.xml><?xml version="1.0" encoding="utf-8"?>
<ds:datastoreItem xmlns:ds="http://schemas.openxmlformats.org/officeDocument/2006/customXml" ds:itemID="{2B11408A-6D5C-4CA6-95AE-BDB1C00B1E4C}">
  <ds:schemaRefs/>
</ds:datastoreItem>
</file>

<file path=customXml/itemProps4.xml><?xml version="1.0" encoding="utf-8"?>
<ds:datastoreItem xmlns:ds="http://schemas.openxmlformats.org/officeDocument/2006/customXml" ds:itemID="{710721B5-2FFD-4B32-891F-8DD51FBA0B54}">
  <ds:schemaRefs/>
</ds:datastoreItem>
</file>

<file path=customXml/itemProps5.xml><?xml version="1.0" encoding="utf-8"?>
<ds:datastoreItem xmlns:ds="http://schemas.openxmlformats.org/officeDocument/2006/customXml" ds:itemID="{7C541C99-BA1C-408F-8BE9-FD886FF1D685}">
  <ds:schemaRefs/>
</ds:datastoreItem>
</file>

<file path=customXml/itemProps6.xml><?xml version="1.0" encoding="utf-8"?>
<ds:datastoreItem xmlns:ds="http://schemas.openxmlformats.org/officeDocument/2006/customXml" ds:itemID="{0CBD3A4D-46FC-4C9D-A646-0B0B22B0418A}">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17</Pages>
  <Words>4696</Words>
  <Characters>25361</Characters>
  <Lines>211</Lines>
  <Paragraphs>59</Paragraphs>
  <TotalTime>108</TotalTime>
  <ScaleCrop>false</ScaleCrop>
  <LinksUpToDate>false</LinksUpToDate>
  <CharactersWithSpaces>29998</CharactersWithSpaces>
  <Application>WPS Office_11.2.0.10265_F1E327BC-269C-435d-A152-05C5408002CA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2023-04-10T11:06:00Z</dcterms:created>
  <dc:creator>Manoel Paz</dc:creator>
  <cp:lastModifiedBy>snogueira</cp:lastModifiedBy>
  <cp:lastPrinted>2023-06-28T14:53:00Z</cp:lastPrinted>
  <dcterms:modified xsi:type="dcterms:W3CDTF">2023-06-30T18:26:30Z</dcterms:modified>
  <dc:title>Edital Pregão Compras - Ampla Participação</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DF59291CA6884F5AAF066D13597A633B</vt:lpwstr>
  </property>
</Properties>
</file>