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w:t>
      </w:r>
    </w:p>
    <w:p>
      <w:pPr>
        <w:jc w:val="center"/>
        <w:rPr>
          <w:rFonts w:ascii="Arial" w:hAnsi="Arial" w:eastAsia="Times New Roman" w:cs="Arial"/>
          <w:b/>
          <w:iCs/>
        </w:rPr>
      </w:pPr>
      <w:permStart w:id="0" w:edGrp="everyone"/>
      <w:r>
        <w:rPr>
          <w:rFonts w:hint="default" w:ascii="Arial" w:hAnsi="Arial" w:eastAsia="Times New Roman" w:cs="Arial"/>
          <w:b/>
          <w:iCs/>
          <w:highlight w:val="yellow"/>
          <w:lang w:val="pt-BR"/>
        </w:rPr>
        <w:t>A</w:t>
      </w:r>
      <w:r>
        <w:rPr>
          <w:rFonts w:ascii="Arial" w:hAnsi="Arial" w:eastAsia="Times New Roman" w:cs="Arial"/>
          <w:b/>
          <w:iCs/>
          <w:highlight w:val="yellow"/>
        </w:rPr>
        <w:t>quisiçõe</w:t>
      </w:r>
      <w:r>
        <w:rPr>
          <w:rFonts w:ascii="Arial" w:hAnsi="Arial" w:eastAsia="Times New Roman" w:cs="Arial"/>
          <w:b/>
          <w:iCs/>
        </w:rPr>
        <w:t>s</w:t>
      </w:r>
    </w:p>
    <w:p>
      <w:pPr>
        <w:jc w:val="center"/>
        <w:rPr>
          <w:rFonts w:hint="default" w:ascii="Arial" w:hAnsi="Arial" w:eastAsia="Times New Roman" w:cs="Arial"/>
          <w:b/>
          <w:iCs/>
          <w:lang w:val="pt-BR"/>
        </w:rPr>
      </w:pPr>
      <w:r>
        <w:rPr>
          <w:rFonts w:hint="default" w:ascii="Arial" w:hAnsi="Arial" w:eastAsia="Times New Roman" w:cs="Arial"/>
          <w:b/>
          <w:iCs/>
          <w:lang w:val="pt-BR"/>
        </w:rPr>
        <w:t>54/2023</w:t>
      </w:r>
    </w:p>
    <w:permEnd w:id="0"/>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56"/>
        <w:spacing w:afterLines="120" w:line="312" w:lineRule="auto"/>
        <w:ind w:firstLine="709"/>
        <w:rPr>
          <w:b/>
          <w:bCs/>
          <w:sz w:val="24"/>
          <w:szCs w:val="24"/>
        </w:rPr>
      </w:pPr>
      <w:permStart w:id="1" w:edGrp="everyone"/>
      <w:r>
        <w:rPr>
          <w:rFonts w:hint="default" w:ascii="Arial" w:hAnsi="Arial" w:cs="Arial"/>
          <w:sz w:val="24"/>
          <w:szCs w:val="24"/>
          <w:highlight w:val="yellow"/>
        </w:rPr>
        <w:t xml:space="preserve">Aquisição </w:t>
      </w:r>
      <w:r>
        <w:rPr>
          <w:rFonts w:hint="default" w:ascii="Arial" w:hAnsi="Arial" w:cs="Arial"/>
          <w:sz w:val="24"/>
          <w:szCs w:val="24"/>
        </w:rPr>
        <w:t>de</w:t>
      </w:r>
      <w:r>
        <w:rPr>
          <w:rFonts w:hint="default" w:ascii="Arial" w:hAnsi="Arial" w:cs="Arial"/>
          <w:sz w:val="24"/>
          <w:szCs w:val="24"/>
          <w:lang w:val="pt-BR"/>
        </w:rPr>
        <w:t xml:space="preserve"> lâmpadas</w:t>
      </w:r>
      <w:r>
        <w:rPr>
          <w:rFonts w:hint="default" w:ascii="Arial" w:hAnsi="Arial" w:cs="Arial"/>
          <w:sz w:val="24"/>
          <w:szCs w:val="24"/>
        </w:rPr>
        <w:t xml:space="preserve"> </w:t>
      </w:r>
      <w:r>
        <w:rPr>
          <w:rFonts w:hint="default" w:ascii="Arial" w:hAnsi="Arial" w:cs="Arial"/>
          <w:sz w:val="24"/>
          <w:szCs w:val="24"/>
          <w:lang w:val="pt-BR"/>
        </w:rPr>
        <w:t>para a</w:t>
      </w:r>
      <w:r>
        <w:rPr>
          <w:rFonts w:hint="default" w:ascii="Arial" w:hAnsi="Arial" w:cs="Arial"/>
          <w:sz w:val="24"/>
          <w:szCs w:val="24"/>
        </w:rPr>
        <w:t xml:space="preserve"> rede de iluminação pública no município de Arcos</w:t>
      </w:r>
      <w:r>
        <w:rPr>
          <w:rFonts w:hint="default" w:ascii="Arial" w:hAnsi="Arial" w:cs="Arial"/>
          <w:sz w:val="24"/>
          <w:szCs w:val="24"/>
          <w:lang w:val="pt-BR"/>
        </w:rPr>
        <w:t xml:space="preserve"> </w:t>
      </w:r>
      <w:r>
        <w:rPr>
          <w:rFonts w:hint="default" w:ascii="Arial" w:hAnsi="Arial" w:cs="Arial"/>
          <w:sz w:val="24"/>
          <w:szCs w:val="24"/>
        </w:rPr>
        <w:t>-</w:t>
      </w:r>
      <w:r>
        <w:rPr>
          <w:rFonts w:hint="default" w:ascii="Arial" w:hAnsi="Arial" w:cs="Arial"/>
          <w:sz w:val="24"/>
          <w:szCs w:val="24"/>
          <w:lang w:val="pt-BR"/>
        </w:rPr>
        <w:t xml:space="preserve"> </w:t>
      </w:r>
      <w:r>
        <w:rPr>
          <w:rFonts w:hint="default" w:ascii="Arial" w:hAnsi="Arial" w:cs="Arial"/>
          <w:sz w:val="24"/>
          <w:szCs w:val="24"/>
        </w:rPr>
        <w:t>MG.</w:t>
      </w:r>
      <w:r>
        <w:rPr>
          <w:rFonts w:hint="default" w:ascii="Arial" w:hAnsi="Arial" w:cs="Arial"/>
          <w:b/>
          <w:bCs/>
          <w:sz w:val="24"/>
          <w:szCs w:val="24"/>
          <w:highlight w:val="yellow"/>
        </w:rPr>
        <w:t>,</w:t>
      </w:r>
      <w:permEnd w:id="1"/>
      <w:r>
        <w:rPr>
          <w:sz w:val="24"/>
          <w:szCs w:val="24"/>
        </w:rPr>
        <w:t>nos termos da tabela abaixo, conforme condições e exigências estabelecidas neste instrumento.</w:t>
      </w:r>
    </w:p>
    <w:tbl>
      <w:tblPr>
        <w:tblStyle w:val="8"/>
        <w:tblW w:w="94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523"/>
        <w:gridCol w:w="1372"/>
        <w:gridCol w:w="930"/>
        <w:gridCol w:w="1170"/>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color w:val="000000"/>
                <w:sz w:val="20"/>
                <w:szCs w:val="20"/>
              </w:rPr>
            </w:pPr>
            <w:permStart w:id="2" w:edGrp="everyone"/>
            <w:r>
              <w:rPr>
                <w:rFonts w:ascii="Arial" w:hAnsi="Arial" w:eastAsia="Arial" w:cs="Arial"/>
                <w:b/>
                <w:bCs/>
                <w:color w:val="000000" w:themeColor="text1"/>
                <w:sz w:val="20"/>
                <w:szCs w:val="20"/>
                <w14:textFill>
                  <w14:solidFill>
                    <w14:schemeClr w14:val="tx1"/>
                  </w14:solidFill>
                </w14:textFill>
              </w:rPr>
              <w:t>ITEM</w:t>
            </w:r>
          </w:p>
          <w:p>
            <w:pPr>
              <w:widowControl w:val="0"/>
              <w:suppressAutoHyphens/>
              <w:spacing w:before="120" w:afterLines="120" w:line="312" w:lineRule="auto"/>
              <w:jc w:val="center"/>
              <w:rPr>
                <w:rFonts w:ascii="Arial" w:hAnsi="Arial" w:eastAsia="Arial" w:cs="Arial"/>
                <w:b/>
                <w:bCs/>
                <w:color w:val="000000"/>
                <w:sz w:val="20"/>
                <w:szCs w:val="20"/>
              </w:rPr>
            </w:pPr>
          </w:p>
        </w:tc>
        <w:tc>
          <w:tcPr>
            <w:tcW w:w="3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3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sz w:val="20"/>
                <w:szCs w:val="20"/>
              </w:rPr>
            </w:pPr>
            <w:r>
              <w:rPr>
                <w:rFonts w:ascii="Arial" w:hAnsi="Arial" w:eastAsia="Arial" w:cs="Arial"/>
                <w:b/>
                <w:bCs/>
                <w:sz w:val="20"/>
                <w:szCs w:val="20"/>
              </w:rPr>
              <w:t>QUANT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sz w:val="20"/>
                <w:szCs w:val="20"/>
              </w:rPr>
            </w:pPr>
            <w:r>
              <w:rPr>
                <w:rFonts w:ascii="Arial" w:hAnsi="Arial" w:eastAsia="Arial" w:cs="Arial"/>
                <w:b/>
                <w:bCs/>
                <w:sz w:val="18"/>
                <w:szCs w:val="18"/>
              </w:rPr>
              <w:t>VALOR UNITÁRIO</w:t>
            </w:r>
          </w:p>
        </w:tc>
        <w:tc>
          <w:tcPr>
            <w:tcW w:w="1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sz w:val="20"/>
                <w:szCs w:val="20"/>
              </w:rPr>
            </w:pPr>
            <w:r>
              <w:rPr>
                <w:rFonts w:ascii="Arial" w:hAnsi="Arial" w:eastAsia="Arial" w:cs="Arial"/>
                <w:b/>
                <w:bCs/>
                <w:sz w:val="20"/>
                <w:szCs w:val="20"/>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1</w:t>
            </w:r>
          </w:p>
        </w:tc>
        <w:tc>
          <w:tcPr>
            <w:tcW w:w="3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both"/>
              <w:rPr>
                <w:rFonts w:ascii="Arial" w:hAnsi="Arial" w:eastAsia="Arial" w:cs="Arial"/>
                <w:color w:val="000000"/>
              </w:rPr>
            </w:pPr>
            <w:r>
              <w:rPr>
                <w:rFonts w:hint="default" w:ascii="Calibri" w:hAnsi="Calibri" w:eastAsia="SimSun" w:cs="Calibri"/>
                <w:i w:val="0"/>
                <w:iCs w:val="0"/>
                <w:color w:val="000000"/>
                <w:kern w:val="0"/>
                <w:sz w:val="24"/>
                <w:szCs w:val="24"/>
                <w:u w:val="none"/>
                <w:lang w:val="pt-BR" w:eastAsia="zh-CN" w:bidi="ar"/>
              </w:rPr>
              <w:t>L</w:t>
            </w:r>
            <w:r>
              <w:rPr>
                <w:rFonts w:hint="default" w:ascii="Calibri" w:hAnsi="Calibri" w:eastAsia="SimSun" w:cs="Calibri"/>
                <w:i w:val="0"/>
                <w:iCs w:val="0"/>
                <w:color w:val="000000"/>
                <w:kern w:val="0"/>
                <w:sz w:val="24"/>
                <w:szCs w:val="24"/>
                <w:u w:val="none"/>
                <w:lang w:val="en-US" w:eastAsia="zh-CN" w:bidi="ar"/>
              </w:rPr>
              <w:t>uminárias led pública de potência 100watts, fluxo luminoso efetivo médio de 11.500lm, temperatura de cor entre 5.000 a 6.500k, proteção mínima: IP 66, vida útil de 50.000 bivolt, protetor de surto 10kv, cor preta, com pixação ao braço galvanizado de até 5cm, rele fotovoltaico incluso, garantia mínima de 5 anos.</w:t>
            </w:r>
          </w:p>
        </w:tc>
        <w:tc>
          <w:tcPr>
            <w:tcW w:w="13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Unidades</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1500</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R$605,29</w:t>
            </w:r>
          </w:p>
        </w:tc>
        <w:tc>
          <w:tcPr>
            <w:tcW w:w="1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R$907.938,00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w:t>
            </w:r>
          </w:p>
        </w:tc>
        <w:tc>
          <w:tcPr>
            <w:tcW w:w="3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both"/>
              <w:rPr>
                <w:rFonts w:ascii="Arial" w:hAnsi="Arial" w:eastAsia="Arial" w:cs="Arial"/>
                <w:color w:val="000000"/>
              </w:rPr>
            </w:pPr>
            <w:r>
              <w:rPr>
                <w:rFonts w:hint="default" w:ascii="Calibri" w:hAnsi="Calibri" w:eastAsia="SimSun" w:cs="Calibri"/>
                <w:i w:val="0"/>
                <w:iCs w:val="0"/>
                <w:color w:val="000000"/>
                <w:kern w:val="0"/>
                <w:sz w:val="24"/>
                <w:szCs w:val="24"/>
                <w:u w:val="none"/>
                <w:lang w:val="pt-BR" w:eastAsia="zh-CN" w:bidi="ar"/>
              </w:rPr>
              <w:t>L</w:t>
            </w:r>
            <w:r>
              <w:rPr>
                <w:rFonts w:hint="default" w:ascii="Calibri" w:hAnsi="Calibri" w:eastAsia="SimSun" w:cs="Calibri"/>
                <w:i w:val="0"/>
                <w:iCs w:val="0"/>
                <w:color w:val="000000"/>
                <w:kern w:val="0"/>
                <w:sz w:val="24"/>
                <w:szCs w:val="24"/>
                <w:u w:val="none"/>
                <w:lang w:val="en-US" w:eastAsia="zh-CN" w:bidi="ar"/>
              </w:rPr>
              <w:t>uminárias led pública de potência 150watts, fluxo luminoso efetivo médio de 17.250lm, temperatura de cor entre 5.000 a 6.500k, proteção mínima: IP 66, vida útil de 50.000 bivolt, protetor de surto 10kv, cor preta, com pixação ao braço galvanizado de até 5cm, rele fotovoltaico incluso, garantia mínima de 5 anos.</w:t>
            </w:r>
          </w:p>
        </w:tc>
        <w:tc>
          <w:tcPr>
            <w:tcW w:w="13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Unidades</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1500</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R$750,23</w:t>
            </w:r>
          </w:p>
        </w:tc>
        <w:tc>
          <w:tcPr>
            <w:tcW w:w="1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R$1.125.342,00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w:t>
            </w:r>
          </w:p>
        </w:tc>
        <w:tc>
          <w:tcPr>
            <w:tcW w:w="3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both"/>
              <w:rPr>
                <w:rFonts w:ascii="Arial" w:hAnsi="Arial" w:eastAsia="Arial" w:cs="Arial"/>
                <w:color w:val="000000"/>
              </w:rPr>
            </w:pPr>
            <w:r>
              <w:rPr>
                <w:rFonts w:hint="default" w:ascii="Calibri" w:hAnsi="Calibri" w:eastAsia="SimSun" w:cs="Calibri"/>
                <w:i w:val="0"/>
                <w:iCs w:val="0"/>
                <w:color w:val="000000"/>
                <w:kern w:val="0"/>
                <w:sz w:val="24"/>
                <w:szCs w:val="24"/>
                <w:u w:val="none"/>
                <w:lang w:val="pt-BR" w:eastAsia="zh-CN" w:bidi="ar"/>
              </w:rPr>
              <w:t>L</w:t>
            </w:r>
            <w:r>
              <w:rPr>
                <w:rFonts w:hint="default" w:ascii="Calibri" w:hAnsi="Calibri" w:eastAsia="SimSun" w:cs="Calibri"/>
                <w:i w:val="0"/>
                <w:iCs w:val="0"/>
                <w:color w:val="000000"/>
                <w:kern w:val="0"/>
                <w:sz w:val="24"/>
                <w:szCs w:val="24"/>
                <w:u w:val="none"/>
                <w:lang w:val="en-US" w:eastAsia="zh-CN" w:bidi="ar"/>
              </w:rPr>
              <w:t>uminárias led pública de potência 50watts, fluxo luminoso efetivo médio de 6.000lm, temperatura de cor entre 5.000 a 6.500k, proteção mínima</w:t>
            </w:r>
            <w:bookmarkStart w:id="3" w:name="_GoBack"/>
            <w:bookmarkEnd w:id="3"/>
            <w:r>
              <w:rPr>
                <w:rFonts w:hint="default" w:ascii="Calibri" w:hAnsi="Calibri" w:eastAsia="SimSun" w:cs="Calibri"/>
                <w:i w:val="0"/>
                <w:iCs w:val="0"/>
                <w:color w:val="000000"/>
                <w:kern w:val="0"/>
                <w:sz w:val="24"/>
                <w:szCs w:val="24"/>
                <w:u w:val="none"/>
                <w:lang w:val="en-US" w:eastAsia="zh-CN" w:bidi="ar"/>
              </w:rPr>
              <w:t>: IP 66, vida útil de 50.000 bivolt, protetor de surto 10kv, cor preta, com pixação ao braço galvanizado de até 5cm, rele fotovoltaico incluso, garantia mínima de 5 anos.</w:t>
            </w:r>
          </w:p>
        </w:tc>
        <w:tc>
          <w:tcPr>
            <w:tcW w:w="13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Unidades</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1500</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R$546,04</w:t>
            </w:r>
          </w:p>
        </w:tc>
        <w:tc>
          <w:tcPr>
            <w:tcW w:w="1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R$819.056,25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w:t>
            </w:r>
          </w:p>
        </w:tc>
        <w:tc>
          <w:tcPr>
            <w:tcW w:w="3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both"/>
              <w:rPr>
                <w:rFonts w:ascii="Arial" w:hAnsi="Arial" w:eastAsia="Arial" w:cs="Arial"/>
                <w:color w:val="000000"/>
              </w:rPr>
            </w:pPr>
            <w:r>
              <w:rPr>
                <w:rFonts w:hint="default" w:ascii="Calibri" w:hAnsi="Calibri" w:eastAsia="SimSun" w:cs="Calibri"/>
                <w:i w:val="0"/>
                <w:iCs w:val="0"/>
                <w:color w:val="000000"/>
                <w:kern w:val="0"/>
                <w:sz w:val="24"/>
                <w:szCs w:val="24"/>
                <w:u w:val="none"/>
                <w:lang w:val="pt-BR" w:eastAsia="zh-CN" w:bidi="ar"/>
              </w:rPr>
              <w:t>L</w:t>
            </w:r>
            <w:r>
              <w:rPr>
                <w:rFonts w:hint="default" w:ascii="Calibri" w:hAnsi="Calibri" w:eastAsia="SimSun" w:cs="Calibri"/>
                <w:i w:val="0"/>
                <w:iCs w:val="0"/>
                <w:color w:val="000000"/>
                <w:kern w:val="0"/>
                <w:sz w:val="24"/>
                <w:szCs w:val="24"/>
                <w:u w:val="none"/>
                <w:lang w:val="en-US" w:eastAsia="zh-CN" w:bidi="ar"/>
              </w:rPr>
              <w:t>uminárias led pública de potência 70watts, fluxo luminoso efetivo médio de 8.050lm, temperatura de cor entre 5.000 a 6.500k, proteção mínima: IP 66, vida útil de 50.000 bivolt, protetor de surto 10kv, cor preta, com pixação ao braço galvanizado de até 5cm, rele fotovoltaico incluso, garantia mínima de 5 anos.</w:t>
            </w:r>
          </w:p>
        </w:tc>
        <w:tc>
          <w:tcPr>
            <w:tcW w:w="13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Unidades</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lang w:val="pt-BR"/>
              </w:rPr>
            </w:pPr>
            <w:r>
              <w:rPr>
                <w:rFonts w:hint="default" w:ascii="Arial" w:hAnsi="Arial" w:eastAsia="Arial" w:cs="Arial"/>
                <w:color w:val="000000"/>
                <w:lang w:val="pt-BR"/>
              </w:rPr>
              <w:t>1500</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R$648,58</w:t>
            </w:r>
          </w:p>
        </w:tc>
        <w:tc>
          <w:tcPr>
            <w:tcW w:w="1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hint="default" w:ascii="Arial" w:hAnsi="Arial" w:eastAsia="Arial" w:cs="Arial"/>
                <w:color w:val="000000"/>
                <w:sz w:val="20"/>
                <w:szCs w:val="20"/>
                <w:lang w:val="pt-BR"/>
              </w:rPr>
            </w:pPr>
            <w:r>
              <w:rPr>
                <w:rFonts w:hint="default" w:ascii="Arial" w:hAnsi="Arial" w:eastAsia="Arial" w:cs="Arial"/>
                <w:color w:val="000000"/>
                <w:sz w:val="20"/>
                <w:szCs w:val="20"/>
                <w:lang w:val="pt-BR"/>
              </w:rPr>
              <w:t>R$972.866,25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7"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right"/>
              <w:rPr>
                <w:rFonts w:hint="default" w:ascii="Arial" w:hAnsi="Arial" w:eastAsia="Arial" w:cs="Arial"/>
                <w:color w:val="000000"/>
                <w:lang w:val="pt-BR"/>
              </w:rPr>
            </w:pPr>
            <w:r>
              <w:rPr>
                <w:rFonts w:hint="default" w:ascii="Arial" w:hAnsi="Arial" w:eastAsia="Arial" w:cs="Arial"/>
                <w:color w:val="000000"/>
                <w:lang w:val="pt-BR"/>
              </w:rPr>
              <w:t>Total              R$3.825.202,50</w:t>
            </w:r>
          </w:p>
        </w:tc>
      </w:tr>
      <w:permEnd w:id="2"/>
    </w:tbl>
    <w:p>
      <w:pPr>
        <w:pStyle w:val="56"/>
        <w:numPr>
          <w:ilvl w:val="0"/>
          <w:numId w:val="0"/>
        </w:numPr>
        <w:spacing w:afterLines="120" w:line="312" w:lineRule="auto"/>
        <w:rPr>
          <w:sz w:val="24"/>
          <w:szCs w:val="24"/>
        </w:rPr>
      </w:pPr>
    </w:p>
    <w:p>
      <w:pPr>
        <w:pStyle w:val="56"/>
        <w:spacing w:afterLines="120" w:line="312" w:lineRule="auto"/>
        <w:ind w:firstLine="709"/>
        <w:rPr>
          <w:sz w:val="24"/>
          <w:szCs w:val="24"/>
        </w:rPr>
      </w:pPr>
      <w:permStart w:id="3" w:edGrp="everyone"/>
      <w:permEnd w:id="3"/>
      <w:r>
        <w:rPr>
          <w:sz w:val="24"/>
          <w:szCs w:val="24"/>
        </w:rPr>
        <w:t>Os bens objeto desta contratação são caracterizados como comuns, conforme justificativa constante do Estudo Técnico Preliminar.</w:t>
      </w:r>
    </w:p>
    <w:p>
      <w:pPr>
        <w:pStyle w:val="103"/>
        <w:spacing w:afterLines="120" w:line="312" w:lineRule="auto"/>
        <w:ind w:firstLine="709"/>
        <w:rPr>
          <w:i w:val="0"/>
          <w:iCs w:val="0"/>
          <w:color w:val="auto"/>
          <w:sz w:val="24"/>
          <w:szCs w:val="24"/>
          <w:highlight w:val="yellow"/>
        </w:rPr>
      </w:pPr>
      <w:permStart w:id="4" w:edGrp="everyone"/>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meses</w:t>
      </w:r>
      <w:r>
        <w:rPr>
          <w:i w:val="0"/>
          <w:iCs w:val="0"/>
          <w:color w:val="auto"/>
          <w:sz w:val="24"/>
          <w:szCs w:val="24"/>
          <w:highlight w:val="yellow"/>
        </w:rPr>
        <w:t xml:space="preserve"> contados do(a) </w:t>
      </w:r>
      <w:r>
        <w:rPr>
          <w:rFonts w:hint="default"/>
          <w:i w:val="0"/>
          <w:iCs w:val="0"/>
          <w:color w:val="auto"/>
          <w:sz w:val="24"/>
          <w:szCs w:val="24"/>
          <w:highlight w:val="yellow"/>
          <w:lang w:val="pt-BR"/>
        </w:rPr>
        <w:t>assinatura do contrato</w:t>
      </w:r>
      <w:r>
        <w:rPr>
          <w:i w:val="0"/>
          <w:iCs w:val="0"/>
          <w:color w:val="auto"/>
          <w:sz w:val="24"/>
          <w:szCs w:val="24"/>
          <w:highlight w:val="yellow"/>
        </w:rPr>
        <w:t>, na forma do artigo 105 da Lei n° 14.133, de 2021</w:t>
      </w:r>
      <w:permEnd w:id="4"/>
      <w:r>
        <w:rPr>
          <w:i w:val="0"/>
          <w:iCs w:val="0"/>
          <w:color w:val="auto"/>
          <w:sz w:val="24"/>
          <w:szCs w:val="24"/>
          <w:highlight w:val="yellow"/>
        </w:rPr>
        <w:t>.</w:t>
      </w:r>
    </w:p>
    <w:p>
      <w:pPr>
        <w:pStyle w:val="56"/>
        <w:spacing w:afterLines="120" w:line="312" w:lineRule="auto"/>
        <w:ind w:firstLine="709"/>
        <w:rPr>
          <w:sz w:val="24"/>
          <w:szCs w:val="24"/>
        </w:rPr>
      </w:pPr>
      <w:permStart w:id="5" w:edGrp="everyone"/>
      <w:permEnd w:id="5"/>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39"/>
        <w:spacing w:before="120" w:afterLines="120" w:line="312" w:lineRule="auto"/>
        <w:ind w:left="0" w:firstLine="0"/>
        <w:rPr>
          <w:sz w:val="24"/>
          <w:szCs w:val="24"/>
        </w:rPr>
      </w:pPr>
      <w:permStart w:id="6" w:edGrp="everyone"/>
      <w:permEnd w:id="6"/>
      <w:r>
        <w:rPr>
          <w:sz w:val="24"/>
          <w:szCs w:val="24"/>
        </w:rPr>
        <w:t>DESCRIÇÃO DA SOLUÇÃO COMO UM TODO CONSIDERADO O CICLO DE VIDA DO OBJETO E ESPECIFICAÇÃO DO PRODUTO</w:t>
      </w:r>
    </w:p>
    <w:p>
      <w:pPr>
        <w:pStyle w:val="103"/>
        <w:spacing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56"/>
        <w:spacing w:afterLines="120" w:line="312" w:lineRule="auto"/>
        <w:ind w:firstLine="709"/>
        <w:rPr>
          <w:color w:val="auto"/>
          <w:sz w:val="24"/>
          <w:szCs w:val="24"/>
          <w:highlight w:val="yellow"/>
        </w:rPr>
      </w:pPr>
      <w:permStart w:id="7" w:edGrp="everyone"/>
      <w:r>
        <w:rPr>
          <w:color w:val="auto"/>
          <w:sz w:val="24"/>
          <w:szCs w:val="24"/>
          <w:highlight w:val="yellow"/>
        </w:rPr>
        <w:t>Não é admitida a subcontratação do objeto contratual.</w:t>
      </w:r>
    </w:p>
    <w:p>
      <w:pPr>
        <w:pStyle w:val="109"/>
        <w:spacing w:before="120" w:afterLines="120" w:line="312" w:lineRule="auto"/>
        <w:rPr>
          <w:color w:val="auto"/>
          <w:sz w:val="24"/>
          <w:szCs w:val="24"/>
          <w:highlight w:val="yellow"/>
        </w:rPr>
      </w:pPr>
      <w:r>
        <w:rPr>
          <w:color w:val="auto"/>
          <w:sz w:val="24"/>
          <w:szCs w:val="24"/>
          <w:highlight w:val="yellow"/>
        </w:rPr>
        <w:t>Garantia da contratação</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rStyle w:val="13"/>
          <w:rFonts w:hint="default"/>
          <w:i w:val="0"/>
          <w:iCs w:val="0"/>
          <w:color w:val="auto"/>
          <w:sz w:val="24"/>
          <w:szCs w:val="24"/>
          <w:lang w:val="pt-BR"/>
        </w:rPr>
        <w:t>.</w:t>
      </w:r>
    </w:p>
    <w:permEnd w:id="7"/>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highlight w:val="yellow"/>
          <w14:textFill>
            <w14:solidFill>
              <w14:schemeClr w14:val="tx1"/>
            </w14:solidFill>
          </w14:textFill>
        </w:rPr>
      </w:pPr>
      <w:permStart w:id="8" w:edGrp="everyone"/>
      <w:r>
        <w:rPr>
          <w:color w:val="000000" w:themeColor="text1"/>
          <w:sz w:val="24"/>
          <w:szCs w:val="24"/>
          <w:highlight w:val="yellow"/>
          <w14:textFill>
            <w14:solidFill>
              <w14:schemeClr w14:val="tx1"/>
            </w14:solidFill>
          </w14:textFill>
        </w:rPr>
        <w:t>Condições de Entrega</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entrega dos bens é de </w:t>
      </w:r>
      <w:r>
        <w:rPr>
          <w:rFonts w:hint="default"/>
          <w:i w:val="0"/>
          <w:iCs w:val="0"/>
          <w:color w:val="auto"/>
          <w:sz w:val="24"/>
          <w:szCs w:val="24"/>
          <w:highlight w:val="yellow"/>
          <w:lang w:val="pt-BR"/>
        </w:rPr>
        <w:t>10</w:t>
      </w:r>
      <w:r>
        <w:rPr>
          <w:i w:val="0"/>
          <w:iCs w:val="0"/>
          <w:color w:val="auto"/>
          <w:sz w:val="24"/>
          <w:szCs w:val="24"/>
          <w:highlight w:val="yellow"/>
        </w:rPr>
        <w:t xml:space="preserve"> dias, contados d</w:t>
      </w:r>
      <w:r>
        <w:rPr>
          <w:rFonts w:hint="default"/>
          <w:i w:val="0"/>
          <w:iCs w:val="0"/>
          <w:color w:val="auto"/>
          <w:sz w:val="24"/>
          <w:szCs w:val="24"/>
          <w:highlight w:val="yellow"/>
          <w:lang w:val="pt-BR"/>
        </w:rPr>
        <w:t>a ordem de compra, de forma eventual e parcelada</w:t>
      </w:r>
      <w:r>
        <w:rPr>
          <w:i w:val="0"/>
          <w:iCs w:val="0"/>
          <w:color w:val="auto"/>
          <w:sz w:val="24"/>
          <w:szCs w:val="24"/>
          <w:highlight w:val="yellow"/>
        </w:rPr>
        <w:t xml:space="preserve">..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Caso não seja possível a entrega na data assinalada, a empresa deverá comunicar as razões respectivas com pelo menos </w:t>
      </w:r>
      <w:r>
        <w:rPr>
          <w:rFonts w:hint="default"/>
          <w:i w:val="0"/>
          <w:iCs w:val="0"/>
          <w:color w:val="auto"/>
          <w:sz w:val="24"/>
          <w:szCs w:val="24"/>
          <w:highlight w:val="yellow"/>
          <w:lang w:val="pt-BR"/>
        </w:rPr>
        <w:t>03</w:t>
      </w:r>
      <w:r>
        <w:rPr>
          <w:i w:val="0"/>
          <w:iCs w:val="0"/>
          <w:color w:val="auto"/>
          <w:sz w:val="24"/>
          <w:szCs w:val="24"/>
          <w:highlight w:val="yellow"/>
        </w:rPr>
        <w:t xml:space="preserve"> dias de antecedência para que qualquer pleito de prorrogação de prazo seja analisado, ressalvadas situações de caso fortuito e força maior.</w:t>
      </w:r>
    </w:p>
    <w:p>
      <w:pPr>
        <w:pStyle w:val="56"/>
        <w:spacing w:afterLines="120" w:line="312" w:lineRule="auto"/>
        <w:ind w:firstLine="709"/>
        <w:rPr>
          <w:sz w:val="24"/>
          <w:szCs w:val="24"/>
          <w:highlight w:val="yellow"/>
        </w:rPr>
      </w:pPr>
      <w:r>
        <w:rPr>
          <w:sz w:val="24"/>
          <w:szCs w:val="24"/>
          <w:highlight w:val="yellow"/>
        </w:rPr>
        <w:t>Os bens deverão ser entregues no seguinte endereço</w:t>
      </w:r>
      <w:r>
        <w:rPr>
          <w:rFonts w:hint="default"/>
          <w:sz w:val="24"/>
          <w:szCs w:val="24"/>
          <w:highlight w:val="yellow"/>
          <w:lang w:val="pt-BR"/>
        </w:rPr>
        <w:t>:</w:t>
      </w:r>
    </w:p>
    <w:p>
      <w:pPr>
        <w:pStyle w:val="56"/>
        <w:numPr>
          <w:ilvl w:val="1"/>
          <w:numId w:val="0"/>
        </w:numPr>
        <w:spacing w:afterLines="120" w:line="312" w:lineRule="auto"/>
        <w:ind w:left="709" w:leftChars="0"/>
        <w:rPr>
          <w:rFonts w:ascii="Arial" w:hAnsi="Arial" w:eastAsia="Arial Unicode MS" w:cs="Arial"/>
        </w:rPr>
      </w:pPr>
      <w:r>
        <w:rPr>
          <w:rFonts w:ascii="Arial" w:hAnsi="Arial" w:eastAsia="Arial Unicode MS" w:cs="Arial"/>
        </w:rPr>
        <w:t>Almoxarifado Central da Prefeitura</w:t>
      </w:r>
    </w:p>
    <w:p>
      <w:pPr>
        <w:pStyle w:val="56"/>
        <w:numPr>
          <w:ilvl w:val="1"/>
          <w:numId w:val="0"/>
        </w:numPr>
        <w:spacing w:afterLines="120" w:line="312" w:lineRule="auto"/>
        <w:ind w:left="709" w:leftChars="0"/>
        <w:rPr>
          <w:rFonts w:ascii="Arial" w:hAnsi="Arial" w:eastAsia="Arial Unicode MS" w:cs="Arial"/>
        </w:rPr>
      </w:pPr>
      <w:r>
        <w:rPr>
          <w:rFonts w:ascii="Arial" w:hAnsi="Arial" w:eastAsia="Arial Unicode MS" w:cs="Arial"/>
        </w:rPr>
        <w:t>Rua Capitão José Apolinário n° 1345,</w:t>
      </w:r>
    </w:p>
    <w:p>
      <w:pPr>
        <w:pStyle w:val="56"/>
        <w:numPr>
          <w:ilvl w:val="1"/>
          <w:numId w:val="0"/>
        </w:numPr>
        <w:spacing w:afterLines="120" w:line="312" w:lineRule="auto"/>
        <w:ind w:left="709" w:leftChars="0"/>
        <w:rPr>
          <w:sz w:val="24"/>
          <w:szCs w:val="24"/>
          <w:highlight w:val="yellow"/>
        </w:rPr>
      </w:pPr>
      <w:r>
        <w:rPr>
          <w:rFonts w:ascii="Arial" w:hAnsi="Arial" w:eastAsia="Arial Unicode MS" w:cs="Arial"/>
        </w:rPr>
        <w:t>Bairro Brasília Arcos - MG</w:t>
      </w:r>
    </w:p>
    <w:p>
      <w:pPr>
        <w:pStyle w:val="109"/>
        <w:spacing w:before="120" w:afterLines="120" w:line="312" w:lineRule="auto"/>
        <w:rPr>
          <w:color w:val="auto"/>
          <w:sz w:val="24"/>
          <w:szCs w:val="24"/>
          <w:highlight w:val="yellow"/>
        </w:rPr>
      </w:pPr>
      <w:r>
        <w:rPr>
          <w:color w:val="auto"/>
          <w:sz w:val="24"/>
          <w:szCs w:val="24"/>
          <w:highlight w:val="yellow"/>
        </w:rPr>
        <w:t xml:space="preserve">Garantia, manutenção e assistência técnica </w:t>
      </w:r>
    </w:p>
    <w:p>
      <w:pPr>
        <w:pStyle w:val="56"/>
        <w:spacing w:afterLines="120" w:line="312" w:lineRule="auto"/>
        <w:rPr>
          <w:i w:val="0"/>
          <w:iCs w:val="0"/>
          <w:color w:val="auto"/>
          <w:highlight w:val="yellow"/>
        </w:rPr>
      </w:pPr>
      <w:r>
        <w:rPr>
          <w:sz w:val="24"/>
          <w:szCs w:val="24"/>
          <w:highlight w:val="yellow"/>
        </w:rPr>
        <w:t>O prazo de garantia é aquele estabelecido na Lei nº 8.078, de 11 de setembro de 1990 (Código de Defesa do Consumidor)</w:t>
      </w:r>
      <w:r>
        <w:rPr>
          <w:rFonts w:hint="default"/>
          <w:sz w:val="24"/>
          <w:szCs w:val="24"/>
          <w:highlight w:val="yellow"/>
          <w:lang w:val="pt-BR"/>
        </w:rPr>
        <w:t>.</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será prestada com vistas a manter os equipamentos fornecidos em perfeitas condições de uso, sem qualquer ônus ou custo adicional para o Contratante.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abrange a realização da manutenção corretiva dos bens pelo próprio Contratado, ou, se for o caso, por meio de assistência técnica autorizada, de acordo com as normas técnicas específicas.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Entende-se por manutenção corretiva aquela destinada a corrigir os defeitos apresentados pelos bens, compreendendo a substituição de peças, a realização de ajustes, reparos e correções necessárias.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Uma vez notificado, o Contratado realizará a reparação ou substituição dos bens que apresentarem vício ou defeito no prazo de até </w:t>
      </w:r>
      <w:r>
        <w:rPr>
          <w:rFonts w:hint="default"/>
          <w:i w:val="0"/>
          <w:iCs w:val="0"/>
          <w:color w:val="auto"/>
          <w:sz w:val="24"/>
          <w:szCs w:val="24"/>
          <w:highlight w:val="yellow"/>
          <w:lang w:val="pt-BR"/>
        </w:rPr>
        <w:t xml:space="preserve">05 </w:t>
      </w:r>
      <w:r>
        <w:rPr>
          <w:i w:val="0"/>
          <w:iCs w:val="0"/>
          <w:color w:val="auto"/>
          <w:sz w:val="24"/>
          <w:szCs w:val="24"/>
          <w:highlight w:val="yellow"/>
        </w:rPr>
        <w:t>(</w:t>
      </w:r>
      <w:r>
        <w:rPr>
          <w:rFonts w:hint="default"/>
          <w:i w:val="0"/>
          <w:iCs w:val="0"/>
          <w:color w:val="auto"/>
          <w:sz w:val="24"/>
          <w:szCs w:val="24"/>
          <w:highlight w:val="yellow"/>
          <w:lang w:val="pt-BR"/>
        </w:rPr>
        <w:t>cinco</w:t>
      </w:r>
      <w:r>
        <w:rPr>
          <w:i w:val="0"/>
          <w:iCs w:val="0"/>
          <w:color w:val="auto"/>
          <w:sz w:val="24"/>
          <w:szCs w:val="24"/>
          <w:highlight w:val="yellow"/>
        </w:rPr>
        <w:t xml:space="preserve">) dias úteis, contados a partir da data de retirada do equipamento das dependências da Administração pelo Contratado ou pela assistência técnica autorizada.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O prazo indicado no subitem anterior, durante seu transcurso, poderá ser prorrogado uma única vez, por igual período, mediante solicitação escrita e justificada do Contratado, aceita pelo Contratante.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O custo referente ao transporte dos equipamentos cobertos pela garantia será de responsabilidade do Contratado. </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Pr>
          <w:rFonts w:hint="default"/>
          <w:i w:val="0"/>
          <w:iCs w:val="0"/>
          <w:color w:val="auto"/>
          <w:sz w:val="24"/>
          <w:szCs w:val="24"/>
          <w:highlight w:val="yellow"/>
          <w:lang w:val="pt-BR"/>
        </w:rPr>
        <w:t>.</w:t>
      </w:r>
      <w:permEnd w:id="8"/>
    </w:p>
    <w:p>
      <w:pPr>
        <w:pStyle w:val="103"/>
        <w:numPr>
          <w:ilvl w:val="0"/>
          <w:numId w:val="0"/>
        </w:numPr>
        <w:spacing w:afterLines="120" w:line="312" w:lineRule="auto"/>
        <w:ind w:left="709"/>
        <w:rPr>
          <w:sz w:val="24"/>
          <w:szCs w:val="24"/>
          <w:highlight w:val="yellow"/>
        </w:rPr>
      </w:pPr>
    </w:p>
    <w:p>
      <w:pPr>
        <w:pStyle w:val="39"/>
        <w:spacing w:before="120" w:afterLines="120" w:line="312" w:lineRule="auto"/>
        <w:rPr>
          <w:sz w:val="24"/>
          <w:szCs w:val="24"/>
        </w:rPr>
      </w:pPr>
      <w:r>
        <w:rPr>
          <w:sz w:val="24"/>
          <w:szCs w:val="24"/>
        </w:rPr>
        <w:t>MODELO DE GESTÃO DO CONTRATO</w:t>
      </w:r>
    </w:p>
    <w:p>
      <w:pPr>
        <w:pStyle w:val="56"/>
        <w:spacing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o servidor </w:t>
      </w:r>
      <w:permStart w:id="9" w:edGrp="everyone"/>
      <w:r>
        <w:rPr>
          <w:rFonts w:hint="default"/>
          <w:sz w:val="24"/>
          <w:szCs w:val="24"/>
          <w:lang w:val="pt-BR"/>
        </w:rPr>
        <w:t>Alisson Alves Fernandes</w:t>
      </w:r>
      <w:r>
        <w:rPr>
          <w:sz w:val="24"/>
          <w:szCs w:val="24"/>
        </w:rPr>
        <w:t xml:space="preserve"> </w:t>
      </w:r>
      <w:permEnd w:id="9"/>
      <w:r>
        <w:rPr>
          <w:sz w:val="24"/>
          <w:szCs w:val="24"/>
        </w:rPr>
        <w:t xml:space="preserve">para atuar como fiscal do contrato e o servidor </w:t>
      </w:r>
      <w:permStart w:id="10" w:edGrp="everyone"/>
      <w:r>
        <w:rPr>
          <w:rFonts w:hint="default"/>
          <w:sz w:val="24"/>
          <w:szCs w:val="24"/>
          <w:lang w:val="pt-BR"/>
        </w:rPr>
        <w:t>Daniel Ribeiro de Mendonça</w:t>
      </w:r>
      <w:r>
        <w:rPr>
          <w:sz w:val="24"/>
          <w:szCs w:val="24"/>
        </w:rPr>
        <w:t xml:space="preserve"> </w:t>
      </w:r>
      <w:permEnd w:id="10"/>
      <w:r>
        <w:rPr>
          <w:sz w:val="24"/>
          <w:szCs w:val="24"/>
        </w:rPr>
        <w:t>para atuar como gestor do contrato.</w:t>
      </w:r>
    </w:p>
    <w:p>
      <w:pPr>
        <w:pStyle w:val="56"/>
        <w:spacing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312" w:lineRule="auto"/>
        <w:ind w:firstLine="709"/>
        <w:rPr>
          <w:sz w:val="24"/>
          <w:szCs w:val="24"/>
          <w:lang w:eastAsia="en-US"/>
        </w:rPr>
      </w:pPr>
      <w:r>
        <w:rPr>
          <w:sz w:val="24"/>
          <w:szCs w:val="24"/>
          <w:lang w:eastAsia="en-US"/>
        </w:rPr>
        <w:t>Os itens poderão ser rejeitados, no todo ou em parte, inclusive antes do recebimento provisório,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11" w:edGrp="everyone"/>
      <w:r>
        <w:rPr>
          <w:color w:val="auto"/>
          <w:sz w:val="24"/>
          <w:szCs w:val="24"/>
          <w:lang w:eastAsia="en-US"/>
        </w:rPr>
        <w:t xml:space="preserve">de </w:t>
      </w:r>
      <w:r>
        <w:rPr>
          <w:rFonts w:hint="default"/>
          <w:color w:val="auto"/>
          <w:sz w:val="24"/>
          <w:szCs w:val="24"/>
          <w:lang w:val="pt-BR" w:eastAsia="en-US"/>
        </w:rPr>
        <w:t xml:space="preserve">05 </w:t>
      </w:r>
      <w:r>
        <w:rPr>
          <w:color w:val="auto"/>
          <w:sz w:val="24"/>
          <w:szCs w:val="24"/>
          <w:highlight w:val="yellow"/>
          <w:lang w:eastAsia="en-US"/>
        </w:rPr>
        <w:t>(</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w:t>
      </w:r>
      <w:permEnd w:id="11"/>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Lines="120" w:line="312" w:lineRule="auto"/>
        <w:ind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permStart w:id="12" w:edGrp="everyone"/>
      <w:r>
        <w:rPr>
          <w:rFonts w:hint="default"/>
          <w:color w:val="auto"/>
          <w:sz w:val="24"/>
          <w:szCs w:val="24"/>
          <w:lang w:val="pt-BR" w:eastAsia="en-US"/>
        </w:rPr>
        <w:t xml:space="preserve">30 </w:t>
      </w:r>
      <w:r>
        <w:rPr>
          <w:color w:val="auto"/>
          <w:sz w:val="24"/>
          <w:szCs w:val="24"/>
          <w:highlight w:val="yellow"/>
          <w:lang w:eastAsia="en-US"/>
        </w:rPr>
        <w:t>(</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w:t>
      </w:r>
      <w:permEnd w:id="12"/>
      <w:r>
        <w:rPr>
          <w:color w:val="auto"/>
          <w:sz w:val="24"/>
          <w:szCs w:val="24"/>
          <w:lang w:eastAsia="en-US"/>
        </w:rPr>
        <w:t>dias úteis,</w:t>
      </w:r>
      <w:r>
        <w:rPr>
          <w:color w:val="FF0000"/>
          <w:sz w:val="24"/>
          <w:szCs w:val="24"/>
          <w:lang w:eastAsia="en-US"/>
        </w:rPr>
        <w:t xml:space="preserve"> </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sz w:val="24"/>
          <w:szCs w:val="24"/>
          <w:lang w:eastAsia="en-US"/>
        </w:rPr>
        <w:t>inciso II do art. 75 da Lei nº 14.133, de 2021</w:t>
      </w:r>
      <w:r>
        <w:rPr>
          <w:rStyle w:val="13"/>
          <w:sz w:val="24"/>
          <w:szCs w:val="24"/>
          <w:lang w:eastAsia="en-US"/>
        </w:rPr>
        <w:fldChar w:fldCharType="end"/>
      </w:r>
      <w:r>
        <w:rPr>
          <w:sz w:val="24"/>
          <w:szCs w:val="24"/>
          <w:lang w:eastAsia="en-US"/>
        </w:rPr>
        <w:t xml:space="preserve">, o prazo máximo para o recebimento definitivo será de até </w:t>
      </w:r>
      <w:permStart w:id="13" w:edGrp="everyone"/>
      <w:r>
        <w:rPr>
          <w:rFonts w:hint="default"/>
          <w:sz w:val="24"/>
          <w:szCs w:val="24"/>
          <w:lang w:val="pt-BR" w:eastAsia="en-US"/>
        </w:rPr>
        <w:t>30</w:t>
      </w:r>
      <w:r>
        <w:rPr>
          <w:color w:val="auto"/>
          <w:sz w:val="24"/>
          <w:szCs w:val="24"/>
          <w:highlight w:val="yellow"/>
          <w:lang w:eastAsia="en-US"/>
        </w:rPr>
        <w:t xml:space="preserve"> (</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w:t>
      </w:r>
      <w:permEnd w:id="13"/>
      <w:r>
        <w:rPr>
          <w:sz w:val="24"/>
          <w:szCs w:val="24"/>
          <w:lang w:eastAsia="en-US"/>
        </w:rPr>
        <w:t>dias úteis.</w:t>
      </w:r>
    </w:p>
    <w:p>
      <w:pPr>
        <w:pStyle w:val="56"/>
        <w:spacing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r>
        <w:rPr>
          <w:sz w:val="24"/>
          <w:szCs w:val="24"/>
          <w:lang w:eastAsia="en-US"/>
        </w:rPr>
        <w:t xml:space="preserve"> </w:t>
      </w:r>
    </w:p>
    <w:p>
      <w:pPr>
        <w:pStyle w:val="56"/>
        <w:spacing w:afterLines="120" w:line="312" w:lineRule="auto"/>
        <w:ind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firstLine="709"/>
        <w:rPr>
          <w:sz w:val="24"/>
          <w:szCs w:val="24"/>
        </w:rPr>
      </w:pPr>
      <w:r>
        <w:rPr>
          <w:sz w:val="24"/>
          <w:szCs w:val="24"/>
        </w:rPr>
        <w:t xml:space="preserve">O pagamento será efetuado no prazo de até </w:t>
      </w:r>
      <w:permStart w:id="14" w:edGrp="everyone"/>
      <w:r>
        <w:rPr>
          <w:sz w:val="24"/>
          <w:szCs w:val="24"/>
          <w:highlight w:val="yellow"/>
        </w:rPr>
        <w:t>trinta</w:t>
      </w:r>
      <w:permEnd w:id="14"/>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permStart w:id="15" w:edGrp="everyone"/>
      <w:permEnd w:id="15"/>
      <w:r>
        <w:rPr>
          <w:color w:val="auto"/>
          <w:sz w:val="24"/>
          <w:szCs w:val="24"/>
          <w:lang w:eastAsia="en-US"/>
        </w:rPr>
        <w:t>Forma de pagamento</w:t>
      </w:r>
    </w:p>
    <w:p>
      <w:pPr>
        <w:pStyle w:val="56"/>
        <w:spacing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15"/>
        <w:spacing w:before="120" w:afterLines="120" w:line="312" w:lineRule="auto"/>
        <w:rPr>
          <w:rFonts w:ascii="Arial" w:hAnsi="Arial" w:cs="Arial"/>
          <w:b/>
          <w:color w:val="FF0000"/>
          <w:sz w:val="24"/>
          <w:szCs w:val="24"/>
          <w:shd w:val="clear" w:color="auto" w:fill="FFFFFF"/>
        </w:rPr>
      </w:pP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permStart w:id="16" w:edGrp="everyone"/>
      <w:r>
        <w:rPr>
          <w:rFonts w:hint="default" w:eastAsia="Arial"/>
          <w:sz w:val="24"/>
          <w:szCs w:val="24"/>
          <w:lang w:val="pt-BR"/>
        </w:rPr>
        <w:t>Pregão para Registro de Preço</w:t>
      </w:r>
      <w:r>
        <w:rPr>
          <w:rFonts w:eastAsia="Arial"/>
          <w:sz w:val="24"/>
          <w:szCs w:val="24"/>
        </w:rPr>
        <w:t>,</w:t>
      </w:r>
      <w:permEnd w:id="16"/>
      <w:r>
        <w:rPr>
          <w:rFonts w:eastAsia="Arial"/>
          <w:sz w:val="24"/>
          <w:szCs w:val="24"/>
        </w:rPr>
        <w:t xml:space="preserve"> sob a forma ELETRÔNICA, com adoção do critério de julgamento </w:t>
      </w:r>
      <w:permStart w:id="17" w:edGrp="everyone"/>
      <w:r>
        <w:rPr>
          <w:rFonts w:eastAsia="Arial"/>
          <w:sz w:val="24"/>
          <w:szCs w:val="24"/>
        </w:rPr>
        <w:t xml:space="preserve">pelo </w:t>
      </w:r>
      <w:r>
        <w:rPr>
          <w:rFonts w:hint="default" w:eastAsia="Arial"/>
          <w:sz w:val="24"/>
          <w:szCs w:val="24"/>
          <w:lang w:val="pt-BR"/>
        </w:rPr>
        <w:t>menor preço.</w:t>
      </w:r>
      <w:permEnd w:id="17"/>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Lines="120" w:line="312" w:lineRule="auto"/>
        <w:ind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firstLine="709"/>
        <w:rPr>
          <w:sz w:val="24"/>
          <w:szCs w:val="24"/>
        </w:rPr>
      </w:pPr>
      <w:bookmarkStart w:id="1" w:name="_Ref115800561"/>
      <w:r>
        <w:rPr>
          <w:b/>
          <w:bCs/>
          <w:sz w:val="24"/>
          <w:szCs w:val="24"/>
        </w:rPr>
        <w:t>Pessoa física:</w:t>
      </w:r>
      <w:r>
        <w:rPr>
          <w:sz w:val="24"/>
          <w:szCs w:val="24"/>
        </w:rPr>
        <w:t xml:space="preserve"> cédula de identidade (RG) ou documento equivalente que, por força de lei, tenha validade para fins de identificação em todo o território nacional;</w:t>
      </w:r>
      <w:bookmarkEnd w:id="1"/>
    </w:p>
    <w:p>
      <w:pPr>
        <w:pStyle w:val="56"/>
        <w:spacing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Pr>
          <w:sz w:val="24"/>
          <w:szCs w:val="24"/>
        </w:rPr>
        <w:t>Mercantis onde</w:t>
      </w:r>
      <w:bookmarkEnd w:id="2"/>
      <w:r>
        <w:rPr>
          <w:sz w:val="24"/>
          <w:szCs w:val="24"/>
        </w:rPr>
        <w:t xml:space="preserve"> opera, com averbação no Registro onde tem sede a matriz</w:t>
      </w:r>
    </w:p>
    <w:p>
      <w:pPr>
        <w:pStyle w:val="56"/>
        <w:spacing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Lines="120" w:line="312" w:lineRule="auto"/>
        <w:ind w:firstLine="709"/>
        <w:rPr>
          <w:sz w:val="24"/>
          <w:szCs w:val="24"/>
        </w:rPr>
      </w:pPr>
      <w:r>
        <w:rPr>
          <w:b/>
          <w:bCs/>
          <w:sz w:val="24"/>
          <w:szCs w:val="24"/>
        </w:rPr>
        <w:t>Agricultor familiar:</w:t>
      </w:r>
      <w:r>
        <w:rPr>
          <w:sz w:val="24"/>
          <w:szCs w:val="24"/>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w:instrText>
      </w:r>
      <w:r>
        <w:fldChar w:fldCharType="separate"/>
      </w:r>
      <w:r>
        <w:rPr>
          <w:rStyle w:val="13"/>
          <w:sz w:val="24"/>
          <w:szCs w:val="24"/>
        </w:rPr>
        <w:t xml:space="preserve"> art. 4º, §2º do Decreto nº 10.880, de 2 de dezembro de 2021</w:t>
      </w:r>
      <w:r>
        <w:rPr>
          <w:rStyle w:val="13"/>
          <w:sz w:val="24"/>
          <w:szCs w:val="24"/>
        </w:rPr>
        <w:fldChar w:fldCharType="end"/>
      </w:r>
      <w:r>
        <w:rPr>
          <w:sz w:val="24"/>
          <w:szCs w:val="24"/>
        </w:rPr>
        <w:t>.</w:t>
      </w:r>
    </w:p>
    <w:p>
      <w:pPr>
        <w:pStyle w:val="56"/>
        <w:spacing w:afterLines="120" w:line="312" w:lineRule="auto"/>
        <w:ind w:firstLine="709"/>
        <w:rPr>
          <w:sz w:val="24"/>
          <w:szCs w:val="24"/>
        </w:rPr>
      </w:pPr>
      <w:r>
        <w:rPr>
          <w:b/>
          <w:bCs/>
          <w:sz w:val="24"/>
          <w:szCs w:val="24"/>
        </w:rPr>
        <w:t>Produtor Rural:</w:t>
      </w:r>
      <w:r>
        <w:rPr>
          <w:sz w:val="24"/>
          <w:szCs w:val="24"/>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w:instrText>
      </w:r>
      <w:r>
        <w:fldChar w:fldCharType="separate"/>
      </w:r>
      <w:r>
        <w:rPr>
          <w:rStyle w:val="13"/>
          <w:sz w:val="24"/>
          <w:szCs w:val="24"/>
        </w:rPr>
        <w:t>Instrução Normativa RFB n. 971, de 13 de novembro de 2009</w:t>
      </w:r>
      <w:r>
        <w:rPr>
          <w:rStyle w:val="13"/>
          <w:sz w:val="24"/>
          <w:szCs w:val="24"/>
        </w:rPr>
        <w:fldChar w:fldCharType="end"/>
      </w:r>
      <w:r>
        <w:rPr>
          <w:sz w:val="24"/>
          <w:szCs w:val="24"/>
        </w:rPr>
        <w:t xml:space="preserve"> (arts. 17 a 19 e 165).</w:t>
      </w:r>
    </w:p>
    <w:p>
      <w:pPr>
        <w:pStyle w:val="56"/>
        <w:spacing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rPr>
      </w:pPr>
      <w:r>
        <w:rPr>
          <w:sz w:val="24"/>
          <w:szCs w:val="24"/>
        </w:rPr>
        <w:t>Prova de regularidade com o Fundo de Garantia do Tempo de Serviço (FGTS);</w:t>
      </w:r>
    </w:p>
    <w:p>
      <w:pPr>
        <w:pStyle w:val="56"/>
        <w:spacing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312" w:lineRule="auto"/>
        <w:ind w:firstLine="709"/>
        <w:rPr>
          <w:sz w:val="24"/>
          <w:szCs w:val="24"/>
        </w:rPr>
      </w:pPr>
      <w:r>
        <w:rPr>
          <w:sz w:val="24"/>
          <w:szCs w:val="24"/>
        </w:rPr>
        <w:t xml:space="preserve">Balanço patrimonial, demonstração de resultado de exercício e demais demonstrações contábeis relativos ao último exercício </w:t>
      </w:r>
      <w:permStart w:id="18" w:edGrp="everyone"/>
      <w:r>
        <w:rPr>
          <w:sz w:val="24"/>
          <w:szCs w:val="24"/>
          <w:highlight w:val="yellow"/>
        </w:rPr>
        <w:t>2022.</w:t>
      </w:r>
      <w:permEnd w:id="18"/>
      <w:r>
        <w:rPr>
          <w:sz w:val="24"/>
          <w:szCs w:val="24"/>
        </w:rPr>
        <w:t xml:space="preserve"> (Lei nº 14.133, de 2021, art. 69, §6º).</w:t>
      </w:r>
    </w:p>
    <w:p>
      <w:pPr>
        <w:pStyle w:val="56"/>
        <w:spacing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permStart w:id="19" w:edGrp="everyone"/>
      <w:r>
        <w:rPr>
          <w:i w:val="0"/>
          <w:iCs w:val="0"/>
          <w:color w:val="auto"/>
          <w:sz w:val="24"/>
          <w:szCs w:val="24"/>
          <w:highlight w:val="yellow"/>
        </w:rPr>
        <w:t>bens/serviços</w:t>
      </w:r>
      <w:r>
        <w:rPr>
          <w:i w:val="0"/>
          <w:iCs w:val="0"/>
          <w:color w:val="auto"/>
          <w:sz w:val="24"/>
          <w:szCs w:val="24"/>
        </w:rPr>
        <w:t xml:space="preserve"> </w:t>
      </w:r>
      <w:permEnd w:id="19"/>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ermStart w:id="20" w:edGrp="everyone"/>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Razão Social e CNPJ da empresa;</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Relação dos Itens fornecidos;</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Prazo do contrato e fornecimento dos itens;</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Declaração do contratante que o material atendeu os requisitos necessários de forma satisfatória;</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 xml:space="preserve">Dados do contratante e assinatura do represente legal. </w:t>
      </w:r>
    </w:p>
    <w:permEnd w:id="20"/>
    <w:p>
      <w:pPr>
        <w:pStyle w:val="104"/>
        <w:spacing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56"/>
        <w:spacing w:afterLines="120" w:line="312" w:lineRule="auto"/>
        <w:ind w:firstLine="709"/>
        <w:rPr>
          <w:sz w:val="24"/>
          <w:szCs w:val="24"/>
          <w:highlight w:val="yellow"/>
        </w:rPr>
      </w:pPr>
      <w:permStart w:id="21" w:edGrp="everyone"/>
      <w:r>
        <w:rPr>
          <w:sz w:val="24"/>
          <w:szCs w:val="24"/>
          <w:highlight w:val="yellow"/>
        </w:rPr>
        <w:t>Caso admitida a participação de cooperativas, será exigida a seguinte documentação complementar:</w:t>
      </w:r>
    </w:p>
    <w:p>
      <w:pPr>
        <w:pStyle w:val="58"/>
        <w:spacing w:afterLines="120" w:line="312" w:lineRule="auto"/>
        <w:ind w:left="170" w:firstLine="709"/>
        <w:rPr>
          <w:sz w:val="24"/>
          <w:szCs w:val="24"/>
          <w:highlight w:val="yellow"/>
        </w:rPr>
      </w:pPr>
      <w:r>
        <w:rPr>
          <w:sz w:val="24"/>
          <w:szCs w:val="24"/>
          <w:highlight w:val="yellow"/>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3"/>
          <w:sz w:val="24"/>
          <w:szCs w:val="24"/>
        </w:rPr>
        <w:t>arts. 4º, inciso XI, 21, inciso I</w:t>
      </w:r>
      <w:r>
        <w:rPr>
          <w:rStyle w:val="13"/>
          <w:sz w:val="24"/>
          <w:szCs w:val="24"/>
        </w:rPr>
        <w:fldChar w:fldCharType="end"/>
      </w:r>
      <w:r>
        <w:rPr>
          <w:sz w:val="24"/>
          <w:szCs w:val="24"/>
          <w:highlight w:val="yellow"/>
        </w:rPr>
        <w:t xml:space="preserve"> e </w:t>
      </w:r>
      <w:r>
        <w:fldChar w:fldCharType="begin"/>
      </w:r>
      <w:r>
        <w:instrText xml:space="preserve"> HYPERLINK "https://www.planalto.gov.br/ccivil_03/leis/l5764.htm" \l "art42" </w:instrText>
      </w:r>
      <w:r>
        <w:fldChar w:fldCharType="separate"/>
      </w:r>
      <w:r>
        <w:rPr>
          <w:rStyle w:val="13"/>
          <w:sz w:val="24"/>
          <w:szCs w:val="24"/>
        </w:rPr>
        <w:t>42, §§2º a 6º da Lei n. 5.764, de 1971</w:t>
      </w:r>
      <w:r>
        <w:rPr>
          <w:rStyle w:val="13"/>
          <w:sz w:val="24"/>
          <w:szCs w:val="24"/>
        </w:rPr>
        <w:fldChar w:fldCharType="end"/>
      </w:r>
      <w:r>
        <w:rPr>
          <w:sz w:val="24"/>
          <w:szCs w:val="24"/>
          <w:highlight w:val="yellow"/>
        </w:rPr>
        <w:t>;</w:t>
      </w:r>
    </w:p>
    <w:p>
      <w:pPr>
        <w:pStyle w:val="58"/>
        <w:spacing w:afterLines="120" w:line="312" w:lineRule="auto"/>
        <w:ind w:left="170" w:firstLine="709"/>
        <w:rPr>
          <w:sz w:val="24"/>
          <w:szCs w:val="24"/>
          <w:highlight w:val="yellow"/>
        </w:rPr>
      </w:pPr>
      <w:r>
        <w:rPr>
          <w:sz w:val="24"/>
          <w:szCs w:val="24"/>
          <w:highlight w:val="yellow"/>
        </w:rPr>
        <w:t>A declaração de regularidade de situação do contribuinte individual – DRSCI, para cada um dos cooperados indicados;</w:t>
      </w:r>
    </w:p>
    <w:p>
      <w:pPr>
        <w:pStyle w:val="58"/>
        <w:spacing w:afterLines="120" w:line="312" w:lineRule="auto"/>
        <w:ind w:left="170" w:firstLine="709"/>
        <w:rPr>
          <w:sz w:val="24"/>
          <w:szCs w:val="24"/>
          <w:highlight w:val="yellow"/>
        </w:rPr>
      </w:pPr>
      <w:r>
        <w:rPr>
          <w:sz w:val="24"/>
          <w:szCs w:val="24"/>
          <w:highlight w:val="yellow"/>
        </w:rPr>
        <w:t xml:space="preserve">A comprovação do capital social proporcional ao número de cooperados necessários à prestação do serviço; </w:t>
      </w:r>
    </w:p>
    <w:p>
      <w:pPr>
        <w:pStyle w:val="58"/>
        <w:spacing w:afterLines="120" w:line="312" w:lineRule="auto"/>
        <w:ind w:left="170" w:firstLine="709"/>
        <w:rPr>
          <w:sz w:val="24"/>
          <w:szCs w:val="24"/>
          <w:highlight w:val="yellow"/>
        </w:rPr>
      </w:pPr>
      <w:r>
        <w:rPr>
          <w:sz w:val="24"/>
          <w:szCs w:val="24"/>
          <w:highlight w:val="yellow"/>
        </w:rPr>
        <w:t xml:space="preserve">O registro previsto na </w:t>
      </w:r>
      <w:r>
        <w:fldChar w:fldCharType="begin"/>
      </w:r>
      <w:r>
        <w:instrText xml:space="preserve"> HYPERLINK "https://www.planalto.gov.br/ccivil_03/leis/l5764.htm" \l "art107" </w:instrText>
      </w:r>
      <w:r>
        <w:fldChar w:fldCharType="separate"/>
      </w:r>
      <w:r>
        <w:rPr>
          <w:rStyle w:val="13"/>
          <w:sz w:val="24"/>
          <w:szCs w:val="24"/>
        </w:rPr>
        <w:t>Lei n. 5.764, de 1971, art. 107</w:t>
      </w:r>
      <w:r>
        <w:rPr>
          <w:rStyle w:val="13"/>
          <w:sz w:val="24"/>
          <w:szCs w:val="24"/>
        </w:rPr>
        <w:fldChar w:fldCharType="end"/>
      </w:r>
      <w:r>
        <w:rPr>
          <w:sz w:val="24"/>
          <w:szCs w:val="24"/>
          <w:highlight w:val="yellow"/>
        </w:rPr>
        <w:t>;</w:t>
      </w:r>
    </w:p>
    <w:p>
      <w:pPr>
        <w:pStyle w:val="58"/>
        <w:spacing w:afterLines="120" w:line="312" w:lineRule="auto"/>
        <w:ind w:left="170" w:firstLine="709"/>
        <w:rPr>
          <w:sz w:val="24"/>
          <w:szCs w:val="24"/>
          <w:highlight w:val="yellow"/>
        </w:rPr>
      </w:pPr>
      <w:r>
        <w:rPr>
          <w:sz w:val="24"/>
          <w:szCs w:val="24"/>
          <w:highlight w:val="yellow"/>
        </w:rPr>
        <w:t xml:space="preserve"> A comprovação de integração das respectivas quotas-partes por parte dos cooperados que executarão o contrato; e</w:t>
      </w:r>
    </w:p>
    <w:p>
      <w:pPr>
        <w:pStyle w:val="58"/>
        <w:spacing w:afterLines="120" w:line="312" w:lineRule="auto"/>
        <w:ind w:left="170" w:firstLine="709"/>
        <w:rPr>
          <w:sz w:val="24"/>
          <w:szCs w:val="24"/>
          <w:highlight w:val="yellow"/>
        </w:rPr>
      </w:pPr>
      <w:r>
        <w:rPr>
          <w:sz w:val="24"/>
          <w:szCs w:val="24"/>
          <w:highlight w:val="yellow"/>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58"/>
        <w:spacing w:afterLines="120" w:line="312" w:lineRule="auto"/>
        <w:ind w:left="170" w:firstLine="709"/>
        <w:rPr>
          <w:sz w:val="24"/>
          <w:szCs w:val="24"/>
          <w:highlight w:val="yellow"/>
        </w:rPr>
      </w:pPr>
      <w:r>
        <w:rPr>
          <w:sz w:val="24"/>
          <w:szCs w:val="24"/>
          <w:highlight w:val="yellow"/>
        </w:rPr>
        <w:t xml:space="preserve">A última auditoria contábil-financeira da cooperativa, conforme dispõe o </w:t>
      </w:r>
      <w:r>
        <w:fldChar w:fldCharType="begin"/>
      </w:r>
      <w:r>
        <w:instrText xml:space="preserve"> HYPERLINK "https://www.planalto.gov.br/ccivil_03/leis/l5764.htm" \l "art112" </w:instrText>
      </w:r>
      <w:r>
        <w:fldChar w:fldCharType="separate"/>
      </w:r>
      <w:r>
        <w:rPr>
          <w:rStyle w:val="13"/>
          <w:sz w:val="24"/>
          <w:szCs w:val="24"/>
        </w:rPr>
        <w:t>art. 112 da Lei n. 5.764, de 1971</w:t>
      </w:r>
      <w:r>
        <w:rPr>
          <w:rStyle w:val="13"/>
          <w:sz w:val="24"/>
          <w:szCs w:val="24"/>
        </w:rPr>
        <w:fldChar w:fldCharType="end"/>
      </w:r>
      <w:r>
        <w:rPr>
          <w:sz w:val="24"/>
          <w:szCs w:val="24"/>
          <w:highlight w:val="yellow"/>
        </w:rPr>
        <w:t>, ou uma declaração, sob as penas da lei, de que tal auditoria não foi exigida pelo órgão fiscalizador.</w:t>
      </w:r>
    </w:p>
    <w:permEnd w:id="21"/>
    <w:p>
      <w:pPr>
        <w:pStyle w:val="39"/>
        <w:spacing w:before="120" w:afterLines="120" w:line="312" w:lineRule="auto"/>
        <w:rPr>
          <w:sz w:val="24"/>
          <w:szCs w:val="24"/>
        </w:rPr>
      </w:pPr>
      <w:r>
        <w:rPr>
          <w:sz w:val="24"/>
          <w:szCs w:val="24"/>
        </w:rPr>
        <w:t>ESTIMATIVAS DO VALOR DA CONTRATAÇÃO</w:t>
      </w:r>
    </w:p>
    <w:p>
      <w:pPr>
        <w:pStyle w:val="103"/>
        <w:spacing w:afterLines="120" w:line="312" w:lineRule="auto"/>
        <w:ind w:firstLine="709"/>
        <w:rPr>
          <w:b/>
          <w:bCs/>
          <w:i w:val="0"/>
          <w:iCs w:val="0"/>
          <w:color w:val="auto"/>
          <w:sz w:val="24"/>
          <w:szCs w:val="24"/>
          <w:highlight w:val="yellow"/>
        </w:rPr>
      </w:pPr>
      <w:permStart w:id="22" w:edGrp="everyone"/>
      <w:r>
        <w:rPr>
          <w:i w:val="0"/>
          <w:iCs w:val="0"/>
          <w:color w:val="auto"/>
          <w:sz w:val="24"/>
          <w:szCs w:val="24"/>
          <w:highlight w:val="yellow"/>
        </w:rPr>
        <w:t>O custo estimado total da contratação é de R$</w:t>
      </w:r>
      <w:r>
        <w:rPr>
          <w:rFonts w:hint="default"/>
          <w:i w:val="0"/>
          <w:iCs w:val="0"/>
          <w:color w:val="auto"/>
          <w:sz w:val="24"/>
          <w:szCs w:val="24"/>
          <w:highlight w:val="yellow"/>
          <w:lang w:val="pt-BR"/>
        </w:rPr>
        <w:t xml:space="preserve">3.825.202,50 </w:t>
      </w:r>
      <w:r>
        <w:rPr>
          <w:i w:val="0"/>
          <w:iCs w:val="0"/>
          <w:color w:val="auto"/>
          <w:sz w:val="24"/>
          <w:szCs w:val="24"/>
          <w:highlight w:val="yellow"/>
        </w:rPr>
        <w:t>(</w:t>
      </w:r>
      <w:r>
        <w:rPr>
          <w:rFonts w:hint="default"/>
          <w:i w:val="0"/>
          <w:iCs w:val="0"/>
          <w:color w:val="auto"/>
          <w:sz w:val="24"/>
          <w:szCs w:val="24"/>
          <w:highlight w:val="yellow"/>
          <w:lang w:val="pt-BR"/>
        </w:rPr>
        <w:t>três milhões oitocentos e vinte e cinco mil duzentos e dois reais e cinquenta centavos</w:t>
      </w:r>
      <w:r>
        <w:rPr>
          <w:i w:val="0"/>
          <w:iCs w:val="0"/>
          <w:color w:val="auto"/>
          <w:sz w:val="24"/>
          <w:szCs w:val="24"/>
          <w:highlight w:val="yellow"/>
        </w:rPr>
        <w:t>), conforme custos unitários apostos na tabela acima</w:t>
      </w:r>
      <w:r>
        <w:rPr>
          <w:rFonts w:hint="default"/>
          <w:i w:val="0"/>
          <w:iCs w:val="0"/>
          <w:color w:val="auto"/>
          <w:sz w:val="24"/>
          <w:szCs w:val="24"/>
          <w:highlight w:val="yellow"/>
          <w:lang w:val="pt-BR"/>
        </w:rPr>
        <w:t>.</w:t>
      </w:r>
    </w:p>
    <w:permEnd w:id="22"/>
    <w:p>
      <w:pPr>
        <w:pStyle w:val="103"/>
        <w:spacing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sz w:val="24"/>
          <w:szCs w:val="24"/>
        </w:rPr>
        <w:t>ADEQUAÇÃO ORÇAMENTÁRIA</w:t>
      </w:r>
    </w:p>
    <w:p>
      <w:pPr>
        <w:pStyle w:val="56"/>
        <w:spacing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Lines="120" w:line="312" w:lineRule="auto"/>
        <w:rPr>
          <w:i/>
          <w:iCs/>
          <w:color w:val="FF0000"/>
          <w:sz w:val="24"/>
          <w:szCs w:val="24"/>
        </w:rPr>
      </w:pPr>
    </w:p>
    <w:p>
      <w:pPr>
        <w:pStyle w:val="56"/>
        <w:numPr>
          <w:ilvl w:val="0"/>
          <w:numId w:val="0"/>
        </w:numPr>
        <w:spacing w:afterLines="120" w:line="312" w:lineRule="auto"/>
        <w:rPr>
          <w:color w:val="auto"/>
          <w:sz w:val="24"/>
          <w:szCs w:val="24"/>
        </w:rPr>
      </w:pPr>
      <w:permStart w:id="23" w:edGrp="everyone"/>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16</w:t>
      </w:r>
      <w:r>
        <w:rPr>
          <w:color w:val="auto"/>
          <w:sz w:val="24"/>
          <w:szCs w:val="24"/>
          <w:highlight w:val="yellow"/>
        </w:rPr>
        <w:t xml:space="preserve"> de </w:t>
      </w:r>
      <w:r>
        <w:rPr>
          <w:rFonts w:hint="default"/>
          <w:color w:val="auto"/>
          <w:sz w:val="24"/>
          <w:szCs w:val="24"/>
          <w:highlight w:val="yellow"/>
          <w:lang w:val="pt-BR"/>
        </w:rPr>
        <w:t>maio</w:t>
      </w:r>
      <w:r>
        <w:rPr>
          <w:color w:val="auto"/>
          <w:sz w:val="24"/>
          <w:szCs w:val="24"/>
          <w:highlight w:val="yellow"/>
        </w:rPr>
        <w:t xml:space="preserve"> de </w:t>
      </w:r>
      <w:r>
        <w:rPr>
          <w:rFonts w:hint="default"/>
          <w:color w:val="auto"/>
          <w:sz w:val="24"/>
          <w:szCs w:val="24"/>
          <w:highlight w:val="yellow"/>
          <w:lang w:val="pt-BR"/>
        </w:rPr>
        <w:t>2023</w:t>
      </w:r>
      <w:r>
        <w:rPr>
          <w:color w:val="auto"/>
          <w:sz w:val="24"/>
          <w:szCs w:val="24"/>
          <w:highlight w:val="yellow"/>
        </w:rPr>
        <w:t>.</w:t>
      </w:r>
    </w:p>
    <w:p>
      <w:pPr>
        <w:pStyle w:val="56"/>
        <w:numPr>
          <w:ilvl w:val="0"/>
          <w:numId w:val="0"/>
        </w:numPr>
        <w:spacing w:afterLines="120" w:line="312" w:lineRule="auto"/>
        <w:rPr>
          <w:i/>
          <w:iCs/>
          <w:color w:val="auto"/>
          <w:sz w:val="24"/>
          <w:szCs w:val="24"/>
        </w:rPr>
      </w:pPr>
    </w:p>
    <w:p>
      <w:pPr>
        <w:spacing w:before="120" w:afterLines="120" w:line="312" w:lineRule="auto"/>
        <w:ind w:left="357"/>
        <w:jc w:val="center"/>
        <w:rPr>
          <w:rFonts w:ascii="Arial" w:hAnsi="Arial" w:eastAsia="Arial" w:cs="Arial"/>
        </w:rPr>
      </w:pPr>
      <w:r>
        <w:rPr>
          <w:rFonts w:ascii="Arial" w:hAnsi="Arial" w:eastAsia="Arial" w:cs="Arial"/>
        </w:rPr>
        <w:t>__________________________________</w:t>
      </w:r>
    </w:p>
    <w:p>
      <w:pPr>
        <w:spacing w:line="240" w:lineRule="auto"/>
        <w:jc w:val="center"/>
        <w:rPr>
          <w:rFonts w:hint="default" w:ascii="Arial" w:hAnsi="Arial" w:eastAsia="Arial Unicode MS" w:cs="Arial"/>
          <w:b w:val="0"/>
          <w:bCs/>
          <w:sz w:val="24"/>
          <w:szCs w:val="24"/>
        </w:rPr>
      </w:pPr>
      <w:r>
        <w:rPr>
          <w:rFonts w:hint="default" w:ascii="Arial" w:hAnsi="Arial" w:eastAsia="Arial Unicode MS" w:cs="Arial"/>
          <w:b w:val="0"/>
          <w:bCs/>
          <w:sz w:val="24"/>
          <w:szCs w:val="24"/>
        </w:rPr>
        <w:t>Daniel Ribeiro de Mendonça</w:t>
      </w:r>
    </w:p>
    <w:p>
      <w:pPr>
        <w:spacing w:before="120" w:afterLines="120" w:line="312" w:lineRule="auto"/>
        <w:ind w:left="360"/>
        <w:jc w:val="center"/>
        <w:rPr>
          <w:rFonts w:ascii="Arial" w:hAnsi="Arial" w:cs="Arial"/>
        </w:rPr>
      </w:pPr>
      <w:r>
        <w:rPr>
          <w:rFonts w:hint="default" w:ascii="Arial" w:hAnsi="Arial" w:eastAsia="Arial Unicode MS" w:cs="Arial"/>
          <w:b w:val="0"/>
          <w:bCs/>
          <w:sz w:val="24"/>
          <w:szCs w:val="24"/>
        </w:rPr>
        <w:t>Secretário Municipal de Obras e Serviços Públicos</w:t>
      </w:r>
    </w:p>
    <w:permEnd w:id="23"/>
    <w:p>
      <w:pPr>
        <w:spacing w:before="120" w:afterLines="120" w:line="312" w:lineRule="auto"/>
        <w:ind w:left="360"/>
        <w:jc w:val="center"/>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attachedTemplate r:id="rId1"/>
  <w:documentProtection w:edit="readOnly" w:enforcement="1" w:cryptProviderType="rsaFull" w:cryptAlgorithmClass="hash" w:cryptAlgorithmType="typeAny" w:cryptAlgorithmSid="4" w:cryptSpinCount="0" w:hash="wNsFN2EEiDOe0WiI0VNJWX1gLmY=" w:salt="4x1yQ9gs+291qDbJP58BP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677234"/>
    <w:rsid w:val="15FB6522"/>
    <w:rsid w:val="165C66F7"/>
    <w:rsid w:val="16649FEF"/>
    <w:rsid w:val="187314D3"/>
    <w:rsid w:val="193305E4"/>
    <w:rsid w:val="1A0CC7BE"/>
    <w:rsid w:val="1AB5ADE8"/>
    <w:rsid w:val="1AECDB15"/>
    <w:rsid w:val="1C2D59A6"/>
    <w:rsid w:val="1C3EC466"/>
    <w:rsid w:val="1C8CA1DF"/>
    <w:rsid w:val="1D38DAFD"/>
    <w:rsid w:val="21D19061"/>
    <w:rsid w:val="21E662A0"/>
    <w:rsid w:val="225CA34E"/>
    <w:rsid w:val="23272055"/>
    <w:rsid w:val="242F06C7"/>
    <w:rsid w:val="24DF3391"/>
    <w:rsid w:val="258A4CD0"/>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3F08349E"/>
    <w:rsid w:val="40993BDC"/>
    <w:rsid w:val="411272C2"/>
    <w:rsid w:val="4284D176"/>
    <w:rsid w:val="42E0FEE6"/>
    <w:rsid w:val="442E7B8D"/>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7B0D7C"/>
    <w:rsid w:val="67AF5CA0"/>
    <w:rsid w:val="6BD87295"/>
    <w:rsid w:val="6CB288AC"/>
    <w:rsid w:val="6CB29864"/>
    <w:rsid w:val="6CDEAB8A"/>
    <w:rsid w:val="6DAB702B"/>
    <w:rsid w:val="6E9858D8"/>
    <w:rsid w:val="6EA8BB6A"/>
    <w:rsid w:val="6EFA4BB6"/>
    <w:rsid w:val="6F16824D"/>
    <w:rsid w:val="6F9619D1"/>
    <w:rsid w:val="71104140"/>
    <w:rsid w:val="712F5AB8"/>
    <w:rsid w:val="71FA2891"/>
    <w:rsid w:val="724B2FE2"/>
    <w:rsid w:val="749958C6"/>
    <w:rsid w:val="74F482F7"/>
    <w:rsid w:val="759EF8DD"/>
    <w:rsid w:val="75AED98F"/>
    <w:rsid w:val="75FCB035"/>
    <w:rsid w:val="767F42F9"/>
    <w:rsid w:val="77392A14"/>
    <w:rsid w:val="77467F07"/>
    <w:rsid w:val="77E0AB9D"/>
    <w:rsid w:val="788D7F63"/>
    <w:rsid w:val="78F9E42E"/>
    <w:rsid w:val="79546C12"/>
    <w:rsid w:val="79A64010"/>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8</TotalTime>
  <ScaleCrop>false</ScaleCrop>
  <LinksUpToDate>false</LinksUpToDate>
  <CharactersWithSpaces>29998</CharactersWithSpaces>
  <Application>WPS Office_11.2.0.11537_F1E327BC-269C-435d-A152-05C5408002CA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lcristina</cp:lastModifiedBy>
  <cp:lastPrinted>2023-04-12T13:59:00Z</cp:lastPrinted>
  <dcterms:modified xsi:type="dcterms:W3CDTF">2023-06-13T17:57:30Z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1046-11.2.0.11537</vt:lpwstr>
  </property>
  <property fmtid="{D5CDD505-2E9C-101B-9397-08002B2CF9AE}" pid="5" name="ICV">
    <vt:lpwstr>87733C0269C141F19379165B984617C1</vt:lpwstr>
  </property>
</Properties>
</file>