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eastAsia="Times New Roman" w:cs="Arial"/>
          <w:b/>
          <w:iCs/>
          <w:highlight w:val="none"/>
        </w:rPr>
      </w:pPr>
      <w:r>
        <w:rPr>
          <w:rFonts w:eastAsia="Times New Roman" w:cs="Arial" w:ascii="Arial" w:hAnsi="Arial"/>
          <w:b/>
          <w:iCs/>
        </w:rPr>
      </w:r>
    </w:p>
    <w:p>
      <w:pPr>
        <w:pStyle w:val="Normal"/>
        <w:jc w:val="center"/>
        <w:rPr>
          <w:rFonts w:ascii="Arial" w:hAnsi="Arial" w:eastAsia="Times New Roman" w:cs="Arial"/>
          <w:b/>
          <w:iCs/>
          <w:highlight w:val="none"/>
        </w:rPr>
      </w:pPr>
      <w:r>
        <w:rPr>
          <w:rFonts w:eastAsia="Times New Roman" w:cs="Arial" w:ascii="Arial" w:hAnsi="Arial"/>
          <w:b/>
          <w:iCs/>
        </w:rPr>
        <w:t>TERMO DE REFERÊNCIA</w:t>
      </w:r>
    </w:p>
    <w:p>
      <w:pPr>
        <w:pStyle w:val="Normal"/>
        <w:jc w:val="center"/>
        <w:rPr>
          <w:rFonts w:ascii="Arial" w:hAnsi="Arial" w:eastAsia="Times New Roman" w:cs="Arial"/>
          <w:b/>
          <w:iCs/>
          <w:highlight w:val="none"/>
        </w:rPr>
      </w:pPr>
      <w:permStart w:id="0" w:edGrp="everyone"/>
      <w:r>
        <w:rPr>
          <w:rFonts w:eastAsia="Times New Roman" w:cs="Arial" w:ascii="Arial" w:hAnsi="Arial"/>
          <w:b/>
          <w:iCs/>
        </w:rPr>
        <w:t xml:space="preserve">Serviços comuns </w:t>
      </w:r>
      <w:permEnd w:id="0"/>
    </w:p>
    <w:p>
      <w:pPr>
        <w:pStyle w:val="Normal"/>
        <w:jc w:val="center"/>
        <w:rPr>
          <w:rFonts w:ascii="Arial" w:hAnsi="Arial" w:eastAsia="Times New Roman" w:cs="Arial"/>
          <w:b/>
          <w:iCs/>
          <w:highlight w:val="none"/>
        </w:rPr>
      </w:pPr>
      <w:r>
        <w:rPr>
          <w:rFonts w:eastAsia="Times New Roman" w:cs="Arial" w:ascii="Arial" w:hAnsi="Arial"/>
          <w:b/>
          <w:iCs/>
        </w:rPr>
        <w:t>MUNICÍPIO DE ARCOS/MG</w:t>
      </w:r>
    </w:p>
    <w:p>
      <w:pPr>
        <w:pStyle w:val="Normal"/>
        <w:jc w:val="center"/>
        <w:rPr>
          <w:rFonts w:ascii="Arial" w:hAnsi="Arial" w:eastAsia="Times New Roman" w:cs="Arial"/>
          <w:b/>
          <w:iCs/>
          <w:highlight w:val="none"/>
          <w:lang w:val="pt-BR"/>
        </w:rPr>
      </w:pPr>
      <w:r>
        <w:rPr>
          <w:rFonts w:eastAsia="Times New Roman" w:cs="Arial" w:ascii="Arial" w:hAnsi="Arial"/>
          <w:b/>
          <w:iCs/>
          <w:lang w:val="pt-BR"/>
        </w:rPr>
        <w:t>N° 080/2024</w:t>
      </w:r>
    </w:p>
    <w:p>
      <w:pPr>
        <w:pStyle w:val="Normal"/>
        <w:jc w:val="center"/>
        <w:rPr>
          <w:rFonts w:ascii="Arial" w:hAnsi="Arial" w:eastAsia="Times New Roman" w:cs="Arial"/>
          <w:b/>
          <w:iCs/>
          <w:highlight w:val="none"/>
          <w:lang w:val="pt-BR"/>
        </w:rPr>
      </w:pPr>
      <w:r>
        <w:rPr>
          <w:rFonts w:eastAsia="Times New Roman" w:cs="Arial" w:ascii="Arial" w:hAnsi="Arial"/>
          <w:b/>
          <w:iCs/>
          <w:lang w:val="pt-BR"/>
        </w:rPr>
      </w:r>
    </w:p>
    <w:p>
      <w:pPr>
        <w:pStyle w:val="Nivel01"/>
        <w:numPr>
          <w:ilvl w:val="0"/>
          <w:numId w:val="101"/>
        </w:numPr>
        <w:spacing w:lineRule="auto" w:line="312" w:before="120" w:after="288"/>
        <w:ind w:hanging="0" w:left="0"/>
        <w:rPr>
          <w:rFonts w:eastAsia="Arial"/>
          <w:sz w:val="24"/>
          <w:szCs w:val="24"/>
          <w:highlight w:val="none"/>
        </w:rPr>
      </w:pPr>
      <w:r>
        <w:rPr>
          <w:sz w:val="24"/>
          <w:szCs w:val="24"/>
        </w:rPr>
        <w:t>CONDIÇÕES GERAIS DA CONTRATAÇÃO</w:t>
      </w:r>
    </w:p>
    <w:p>
      <w:pPr>
        <w:pStyle w:val="Nivel2"/>
        <w:numPr>
          <w:ilvl w:val="1"/>
          <w:numId w:val="102"/>
        </w:numPr>
        <w:spacing w:lineRule="auto" w:line="312" w:before="120" w:after="288"/>
        <w:ind w:firstLine="709" w:left="0"/>
        <w:rPr>
          <w:b/>
          <w:bCs/>
          <w:sz w:val="24"/>
          <w:szCs w:val="24"/>
          <w:highlight w:val="none"/>
        </w:rPr>
      </w:pPr>
      <w:permStart w:id="1" w:edGrp="everyone"/>
      <w:r>
        <w:rPr>
          <w:sz w:val="24"/>
          <w:szCs w:val="24"/>
        </w:rPr>
        <w:t xml:space="preserve">Contratação </w:t>
      </w:r>
      <w:r>
        <w:rPr>
          <w:sz w:val="24"/>
          <w:szCs w:val="24"/>
          <w:lang w:val="pt-BR"/>
        </w:rPr>
        <w:t>para</w:t>
      </w:r>
      <w:r>
        <w:rPr>
          <w:sz w:val="24"/>
          <w:szCs w:val="24"/>
        </w:rPr>
        <w:t xml:space="preserve"> prestação de serviços de </w:t>
      </w:r>
      <w:r>
        <w:rPr>
          <w:sz w:val="24"/>
          <w:szCs w:val="24"/>
          <w:lang w:val="pt-BR"/>
        </w:rPr>
        <w:t>recapagem de pneus usados da frota de veículos da Secretaria Municipal de Obras e Desenvolvimento e Secretaria Municipal de Meio Ambiente e Agricultura</w:t>
      </w:r>
      <w:r>
        <w:rPr>
          <w:b/>
          <w:bCs/>
          <w:sz w:val="24"/>
          <w:szCs w:val="24"/>
        </w:rPr>
        <w:t>,</w:t>
      </w:r>
      <w:r>
        <w:rPr>
          <w:sz w:val="24"/>
          <w:szCs w:val="24"/>
        </w:rPr>
        <w:t xml:space="preserve"> nos termos da tabela abaixo, conforme condições e exigências estabelecidas neste instrumento.</w:t>
      </w:r>
      <w:permEnd w:id="1"/>
    </w:p>
    <w:tbl>
      <w:tblPr>
        <w:tblStyle w:val="8"/>
        <w:tblW w:w="9497" w:type="dxa"/>
        <w:jc w:val="left"/>
        <w:tblInd w:w="-5" w:type="dxa"/>
        <w:tblLayout w:type="fixed"/>
        <w:tblCellMar>
          <w:top w:w="0" w:type="dxa"/>
          <w:left w:w="108" w:type="dxa"/>
          <w:bottom w:w="0" w:type="dxa"/>
          <w:right w:w="108" w:type="dxa"/>
        </w:tblCellMar>
      </w:tblPr>
      <w:tblGrid>
        <w:gridCol w:w="849"/>
        <w:gridCol w:w="2958"/>
        <w:gridCol w:w="1414"/>
        <w:gridCol w:w="1500"/>
        <w:gridCol w:w="1416"/>
        <w:gridCol w:w="1359"/>
      </w:tblGrid>
      <w:tr>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val="000000"/>
                <w:highlight w:val="none"/>
              </w:rPr>
            </w:pPr>
            <w:r>
              <w:rPr>
                <w:rFonts w:eastAsia="Arial" w:cs="Arial" w:ascii="Arial" w:hAnsi="Arial"/>
                <w:b/>
                <w:bCs/>
                <w:color w:themeColor="text1" w:val="000000"/>
                <w:kern w:val="0"/>
                <w14:textFill>
                  <w14:solidFill>
                    <w14:schemeClr w14:val="tx1"/>
                  </w14:solidFill>
                </w14:textFill>
              </w:rPr>
              <w:t>ITEM</w:t>
            </w:r>
          </w:p>
        </w:tc>
        <w:tc>
          <w:tcPr>
            <w:tcW w:w="2958"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b/>
                <w:bCs/>
                <w:color w:themeColor="text1" w:val="000000"/>
                <w:kern w:val="0"/>
                <w14:textFill>
                  <w14:solidFill>
                    <w14:schemeClr w14:val="tx1"/>
                  </w14:solidFill>
                </w14:textFill>
              </w:rPr>
              <w:t>ESPECIFICAÇÃO</w:t>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b/>
                <w:bCs/>
                <w:color w:themeColor="text1" w:val="000000"/>
                <w:kern w:val="0"/>
                <w14:textFill>
                  <w14:solidFill>
                    <w14:schemeClr w14:val="tx1"/>
                  </w14:solidFill>
                </w14:textFill>
              </w:rPr>
              <w:t>UNIDADE DE MEDIDA</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highlight w:val="none"/>
              </w:rPr>
            </w:pPr>
            <w:r>
              <w:rPr>
                <w:rFonts w:eastAsia="Arial" w:cs="Arial" w:ascii="Arial" w:hAnsi="Arial"/>
                <w:b/>
                <w:bCs/>
                <w:kern w:val="0"/>
              </w:rPr>
              <w:t>QUANT.</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highlight w:val="none"/>
              </w:rPr>
            </w:pPr>
            <w:r>
              <w:rPr>
                <w:rFonts w:eastAsia="Arial" w:cs="Arial" w:ascii="Arial" w:hAnsi="Arial"/>
                <w:b/>
                <w:bCs/>
                <w:kern w:val="0"/>
              </w:rPr>
              <w:t>VALOR UNITÁRIO</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highlight w:val="none"/>
              </w:rPr>
            </w:pPr>
            <w:r>
              <w:rPr>
                <w:rFonts w:eastAsia="Arial" w:cs="Arial" w:ascii="Arial" w:hAnsi="Arial"/>
                <w:b/>
                <w:bCs/>
                <w:kern w:val="0"/>
              </w:rPr>
              <w:t>VALOR TOTAL</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val="000000"/>
                <w:highlight w:val="none"/>
              </w:rPr>
            </w:pPr>
            <w:r>
              <w:rPr>
                <w:rFonts w:eastAsia="Arial" w:cs="Arial" w:ascii="Arial" w:hAnsi="Arial"/>
                <w:b/>
                <w:bCs/>
                <w:color w:themeColor="text1" w:val="000000"/>
                <w:kern w:val="0"/>
                <w:lang w:val="pt-BR"/>
                <w14:textFill>
                  <w14:solidFill>
                    <w14:schemeClr w14:val="tx1"/>
                  </w14:solidFill>
                </w14:textFill>
              </w:rPr>
              <w:t>0</w:t>
            </w:r>
            <w:r>
              <w:rPr>
                <w:rFonts w:eastAsia="Arial" w:cs="Arial" w:ascii="Arial" w:hAnsi="Arial"/>
                <w:b/>
                <w:bCs/>
                <w:color w:themeColor="text1" w:val="000000"/>
                <w:kern w:val="0"/>
                <w14:textFill>
                  <w14:solidFill>
                    <w14:schemeClr w14:val="tx1"/>
                  </w14:solidFill>
                </w14:textFill>
              </w:rPr>
              <w:t>1</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bCs/>
                <w:spacing w:val="9"/>
                <w:sz w:val="16"/>
                <w:szCs w:val="16"/>
                <w:highlight w:val="none"/>
                <w:lang w:val="pt-BR" w:eastAsia="pt-BR" w:bidi="ar-SA"/>
              </w:rPr>
            </w:pPr>
            <w:r>
              <w:rPr>
                <w:rFonts w:cs="Arial" w:ascii="Arial" w:hAnsi="Arial"/>
                <w:kern w:val="0"/>
                <w:sz w:val="21"/>
                <w:szCs w:val="21"/>
              </w:rPr>
              <w:t>Serviço de Recapagem de pneu para Retroescavadeira — 12,0 × 16,50</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02</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Motoniveladora — 1400 × 24,0</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03</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BobCat — 12,0 × 16,5</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04</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1000 × 20 (liso)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05</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1000 × 20 (lameiro)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06</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para pneu de Caminhão — 7,50 × 16,00 (liso)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07</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para pneu de Caminhão — 7,50 × 16,00 (lameiro)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08</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900 × 20 (liso)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09</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cs="Arial"/>
                <w:sz w:val="21"/>
                <w:szCs w:val="21"/>
                <w:highlight w:val="none"/>
              </w:rPr>
            </w:pPr>
            <w:r>
              <w:rPr>
                <w:rFonts w:cs="Arial" w:ascii="Arial" w:hAnsi="Arial"/>
                <w:sz w:val="21"/>
                <w:szCs w:val="21"/>
              </w:rPr>
            </w:r>
          </w:p>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900 × 20 (lameiro)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10</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cs="Arial"/>
                <w:sz w:val="21"/>
                <w:szCs w:val="21"/>
                <w:highlight w:val="none"/>
              </w:rPr>
            </w:pPr>
            <w:r>
              <w:rPr>
                <w:rFonts w:cs="Arial" w:ascii="Arial" w:hAnsi="Arial"/>
                <w:kern w:val="0"/>
                <w:sz w:val="21"/>
                <w:szCs w:val="21"/>
              </w:rPr>
              <w:t>Serviço de Recapagem de pneu de Caminhão — 275/80 22,5 (liso)</w:t>
            </w:r>
          </w:p>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21"/>
                <w:szCs w:val="21"/>
                <w:highlight w:val="none"/>
                <w:lang w:val="pt-BR" w:eastAsia="pt-BR" w:bidi="ar-SA"/>
              </w:rPr>
            </w:pPr>
            <w:r>
              <w:rPr>
                <w:rFonts w:eastAsia="" w:cs="Arial" w:eastAsiaTheme="minorEastAsia" w:ascii="Arial" w:hAnsi="Arial"/>
                <w:sz w:val="21"/>
                <w:szCs w:val="21"/>
                <w:lang w:val="pt-BR" w:eastAsia="pt-BR" w:bidi="ar-SA"/>
              </w:rPr>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11</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275/80 22,5 (lameiro)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12</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215/75 × 17,5 (liso)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13</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cs="Arial"/>
                <w:sz w:val="21"/>
                <w:szCs w:val="21"/>
                <w:highlight w:val="none"/>
              </w:rPr>
            </w:pPr>
            <w:r>
              <w:rPr>
                <w:rFonts w:cs="Arial" w:ascii="Arial" w:hAnsi="Arial"/>
                <w:kern w:val="0"/>
                <w:sz w:val="21"/>
                <w:szCs w:val="21"/>
              </w:rPr>
              <w:t>Serviço de Recapagem de pneu de Caminhão — 215/75 × 17,5 (lameiro)</w:t>
            </w:r>
          </w:p>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21"/>
                <w:szCs w:val="21"/>
                <w:highlight w:val="none"/>
                <w:lang w:val="pt-BR" w:eastAsia="pt-BR" w:bidi="ar-SA"/>
              </w:rPr>
            </w:pPr>
            <w:r>
              <w:rPr>
                <w:rFonts w:eastAsia="" w:cs="Arial" w:eastAsiaTheme="minorEastAsia" w:ascii="Arial" w:hAnsi="Arial"/>
                <w:sz w:val="21"/>
                <w:szCs w:val="21"/>
                <w:lang w:val="pt-BR" w:eastAsia="pt-BR" w:bidi="ar-SA"/>
              </w:rPr>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14</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para Retroescavadeira — 16,9 × 24,00</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15</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para Retroescavadeira — 17,5 × 25,00 L2</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16</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b/>
                <w:sz w:val="16"/>
                <w:szCs w:val="16"/>
                <w:highlight w:val="none"/>
                <w:lang w:val="pt-BR" w:eastAsia="pt-BR" w:bidi="ar-SA"/>
              </w:rPr>
            </w:pPr>
            <w:r>
              <w:rPr>
                <w:rFonts w:cs="Arial" w:ascii="Arial" w:hAnsi="Arial"/>
                <w:kern w:val="0"/>
                <w:sz w:val="21"/>
                <w:szCs w:val="21"/>
              </w:rPr>
              <w:t>Serviço de Recapagem de pneu para Retroescavadeira — 12,5/80 R18 L2</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17</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tru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Carregadeira — 17,5 × 25,00 L3</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tru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tru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bl>
    <w:p>
      <w:pPr>
        <w:pStyle w:val="Nivel2"/>
        <w:keepNext w:val="false"/>
        <w:keepLines w:val="false"/>
        <w:pageBreakBefore w:val="false"/>
        <w:widowControl/>
        <w:numPr>
          <w:ilvl w:val="1"/>
          <w:numId w:val="103"/>
        </w:numPr>
        <w:overflowPunct w:val="true"/>
        <w:bidi w:val="0"/>
        <w:snapToGrid w:val="true"/>
        <w:spacing w:lineRule="auto" w:line="312" w:before="360" w:after="288"/>
        <w:ind w:firstLine="709" w:left="0"/>
        <w:textAlignment w:val="auto"/>
        <w:rPr>
          <w:sz w:val="24"/>
          <w:szCs w:val="24"/>
          <w:highlight w:val="none"/>
        </w:rPr>
      </w:pPr>
      <w:r>
        <w:rPr>
          <w:sz w:val="24"/>
          <w:szCs w:val="24"/>
        </w:rPr>
        <w:t>O objeto desta contratação não se enquadra como send</w:t>
      </w:r>
      <w:r>
        <w:rPr>
          <w:sz w:val="24"/>
          <w:szCs w:val="24"/>
          <w:lang w:val="pt-BR"/>
        </w:rPr>
        <w:t>o</w:t>
      </w:r>
      <w:r>
        <w:rPr>
          <w:sz w:val="24"/>
          <w:szCs w:val="24"/>
        </w:rPr>
        <w:t xml:space="preserve"> de bem de luxo, conforme Decreto Municipal nº </w:t>
      </w:r>
      <w:r>
        <w:rPr>
          <w:sz w:val="24"/>
          <w:szCs w:val="24"/>
          <w:lang w:val="pt-BR"/>
        </w:rPr>
        <w:t>6535</w:t>
      </w:r>
      <w:permStart w:id="2" w:edGrp="everyone"/>
      <w:r>
        <w:rPr>
          <w:sz w:val="24"/>
          <w:szCs w:val="24"/>
        </w:rPr>
        <w:t>/2023.</w:t>
      </w:r>
      <w:permEnd w:id="2"/>
    </w:p>
    <w:p>
      <w:pPr>
        <w:pStyle w:val="Nivel2"/>
        <w:numPr>
          <w:ilvl w:val="1"/>
          <w:numId w:val="104"/>
        </w:numPr>
        <w:spacing w:lineRule="auto" w:line="312" w:before="120" w:after="288"/>
        <w:ind w:firstLine="709" w:left="0"/>
        <w:rPr>
          <w:sz w:val="24"/>
          <w:szCs w:val="24"/>
          <w:highlight w:val="none"/>
        </w:rPr>
      </w:pPr>
      <w:r>
        <w:rPr>
          <w:sz w:val="24"/>
          <w:szCs w:val="24"/>
        </w:rPr>
        <w:t>Os bens objeto desta contratação são caracterizados como comuns, conforme justificativa constante do Estudo Técnico Preliminar.</w:t>
      </w:r>
    </w:p>
    <w:p>
      <w:pPr>
        <w:pStyle w:val="Nvel2-Red"/>
        <w:numPr>
          <w:ilvl w:val="1"/>
          <w:numId w:val="105"/>
        </w:numPr>
        <w:spacing w:lineRule="auto" w:line="312" w:before="120" w:after="288"/>
        <w:ind w:firstLine="709" w:left="0"/>
        <w:rPr>
          <w:i w:val="false"/>
          <w:i w:val="false"/>
          <w:iCs w:val="false"/>
          <w:color w:val="auto"/>
          <w:sz w:val="24"/>
          <w:szCs w:val="24"/>
          <w:highlight w:val="none"/>
        </w:rPr>
      </w:pPr>
      <w:permStart w:id="3" w:edGrp="everyone"/>
      <w:r>
        <w:rPr>
          <w:i w:val="false"/>
          <w:iCs w:val="false"/>
          <w:color w:val="auto"/>
          <w:sz w:val="24"/>
          <w:szCs w:val="24"/>
        </w:rPr>
        <w:t xml:space="preserve">O prazo de vigência da contratação é de </w:t>
      </w:r>
      <w:r>
        <w:rPr>
          <w:i w:val="false"/>
          <w:iCs w:val="false"/>
          <w:color w:val="auto"/>
          <w:sz w:val="24"/>
          <w:szCs w:val="24"/>
          <w:lang w:val="pt-BR"/>
        </w:rPr>
        <w:t xml:space="preserve">12 (doze) </w:t>
      </w:r>
      <w:r>
        <w:rPr>
          <w:i w:val="false"/>
          <w:iCs w:val="false"/>
          <w:color w:val="auto"/>
          <w:sz w:val="24"/>
          <w:szCs w:val="24"/>
        </w:rPr>
        <w:t xml:space="preserve">contados do(a) </w:t>
      </w:r>
      <w:r>
        <w:rPr>
          <w:i w:val="false"/>
          <w:iCs w:val="false"/>
          <w:color w:val="auto"/>
          <w:sz w:val="24"/>
          <w:szCs w:val="24"/>
          <w:lang w:val="pt-BR"/>
        </w:rPr>
        <w:t>assinatura do contrato</w:t>
      </w:r>
      <w:r>
        <w:rPr>
          <w:i w:val="false"/>
          <w:iCs w:val="false"/>
          <w:color w:val="auto"/>
          <w:sz w:val="24"/>
          <w:szCs w:val="24"/>
        </w:rPr>
        <w:t>, na forma do artigo 105 da Lei n° 14.133, de 2021.</w:t>
      </w:r>
      <w:permEnd w:id="3"/>
    </w:p>
    <w:p>
      <w:pPr>
        <w:pStyle w:val="Nivel01"/>
        <w:numPr>
          <w:ilvl w:val="0"/>
          <w:numId w:val="106"/>
        </w:numPr>
        <w:spacing w:lineRule="auto" w:line="312" w:before="120" w:after="288"/>
        <w:ind w:hanging="0" w:left="0"/>
        <w:rPr>
          <w:sz w:val="24"/>
          <w:szCs w:val="24"/>
          <w:highlight w:val="none"/>
        </w:rPr>
      </w:pPr>
      <w:r>
        <w:rPr>
          <w:sz w:val="24"/>
          <w:szCs w:val="24"/>
        </w:rPr>
        <w:t>FUNDAMENTAÇÃO E DESCRIÇÃO DA NECESSIDADE DA CONTRATAÇÃO</w:t>
      </w:r>
    </w:p>
    <w:p>
      <w:pPr>
        <w:pStyle w:val="Nivel2"/>
        <w:numPr>
          <w:ilvl w:val="1"/>
          <w:numId w:val="107"/>
        </w:numPr>
        <w:spacing w:lineRule="auto" w:line="312" w:before="120" w:after="288"/>
        <w:ind w:firstLine="709" w:left="0"/>
        <w:rPr>
          <w:sz w:val="24"/>
          <w:szCs w:val="24"/>
          <w:highlight w:val="none"/>
        </w:rPr>
      </w:pPr>
      <w:r>
        <w:rPr>
          <w:sz w:val="24"/>
          <w:szCs w:val="24"/>
        </w:rPr>
        <w:t>A Fundamentação da Contratação e de seus quantitativos encontra-se pormenorizada em Tópico específico dos Estudos Técnicos Preliminares, apêndice deste Termo de Referência.</w:t>
      </w:r>
    </w:p>
    <w:p>
      <w:pPr>
        <w:pStyle w:val="Nivel2"/>
        <w:numPr>
          <w:ilvl w:val="1"/>
          <w:numId w:val="108"/>
        </w:numPr>
        <w:spacing w:lineRule="auto" w:line="312" w:before="120" w:after="288"/>
        <w:ind w:firstLine="709" w:left="0"/>
        <w:rPr>
          <w:sz w:val="24"/>
          <w:szCs w:val="24"/>
          <w:highlight w:val="none"/>
        </w:rPr>
      </w:pPr>
      <w:r>
        <w:rPr>
          <w:sz w:val="24"/>
          <w:szCs w:val="24"/>
        </w:rPr>
        <w:t xml:space="preserve">O objeto da contratação está previsto no Plano de Contratações Anual de </w:t>
      </w:r>
      <w:r>
        <w:rPr>
          <w:sz w:val="24"/>
          <w:szCs w:val="24"/>
          <w:lang w:val="pt-BR"/>
        </w:rPr>
        <w:t>2024</w:t>
      </w:r>
      <w:permStart w:id="4" w:edGrp="everyone"/>
      <w:r>
        <w:rPr>
          <w:color w:val="auto"/>
          <w:sz w:val="24"/>
          <w:szCs w:val="24"/>
        </w:rPr>
        <w:t>.</w:t>
      </w:r>
      <w:permEnd w:id="4"/>
    </w:p>
    <w:p>
      <w:pPr>
        <w:pStyle w:val="Nivel01"/>
        <w:numPr>
          <w:ilvl w:val="0"/>
          <w:numId w:val="109"/>
        </w:numPr>
        <w:spacing w:lineRule="auto" w:line="312" w:before="120" w:after="288"/>
        <w:ind w:hanging="0" w:left="0"/>
        <w:rPr>
          <w:sz w:val="24"/>
          <w:szCs w:val="24"/>
          <w:highlight w:val="none"/>
        </w:rPr>
      </w:pPr>
      <w:r>
        <w:rPr>
          <w:sz w:val="24"/>
          <w:szCs w:val="24"/>
        </w:rPr>
        <w:t>DESCRIÇÃO DA SOLUÇÃO COMO UM TODO CONSIDERADO O CICLO DE VIDA DO OBJETO E ESPECIFICAÇÃO DO PRODUTO</w:t>
      </w:r>
    </w:p>
    <w:p>
      <w:pPr>
        <w:pStyle w:val="Nvel2-Red"/>
        <w:numPr>
          <w:ilvl w:val="1"/>
          <w:numId w:val="110"/>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A descrição da solução como um todo encontra-se pormenorizada em tópico específico dos Estudos Técnicos Preliminares, apêndice deste Termo de Referência.</w:t>
      </w:r>
    </w:p>
    <w:p>
      <w:pPr>
        <w:pStyle w:val="Nivel01"/>
        <w:numPr>
          <w:ilvl w:val="0"/>
          <w:numId w:val="111"/>
        </w:numPr>
        <w:spacing w:lineRule="auto" w:line="312" w:before="120" w:after="288"/>
        <w:rPr>
          <w:sz w:val="24"/>
          <w:szCs w:val="24"/>
          <w:highlight w:val="none"/>
        </w:rPr>
      </w:pPr>
      <w:r>
        <w:rPr>
          <w:sz w:val="24"/>
          <w:szCs w:val="24"/>
        </w:rPr>
        <w:t>REQUISITOS DA CONTRATAÇÃO</w:t>
      </w:r>
    </w:p>
    <w:p>
      <w:pPr>
        <w:pStyle w:val="Nvel1-SemNum"/>
        <w:spacing w:lineRule="auto" w:line="312" w:before="120" w:after="288"/>
        <w:ind w:hanging="0" w:left="0"/>
        <w:rPr>
          <w:color w:val="auto"/>
          <w:sz w:val="24"/>
          <w:szCs w:val="24"/>
          <w:highlight w:val="none"/>
        </w:rPr>
      </w:pPr>
      <w:r>
        <w:rPr>
          <w:color w:val="auto"/>
          <w:sz w:val="24"/>
          <w:szCs w:val="24"/>
        </w:rPr>
        <w:t>Subcontratação</w:t>
      </w:r>
    </w:p>
    <w:p>
      <w:pPr>
        <w:pStyle w:val="Nivel2"/>
        <w:numPr>
          <w:ilvl w:val="1"/>
          <w:numId w:val="112"/>
        </w:numPr>
        <w:spacing w:lineRule="auto" w:line="312" w:before="120" w:after="288"/>
        <w:ind w:firstLine="709" w:left="0"/>
        <w:rPr>
          <w:color w:val="auto"/>
          <w:sz w:val="24"/>
          <w:szCs w:val="24"/>
          <w:highlight w:val="none"/>
        </w:rPr>
      </w:pPr>
      <w:r>
        <w:rPr>
          <w:color w:val="auto"/>
          <w:sz w:val="24"/>
          <w:szCs w:val="24"/>
        </w:rPr>
        <w:t>Não é admitida a subcontratação do objeto contratual.</w:t>
      </w:r>
    </w:p>
    <w:p>
      <w:pPr>
        <w:pStyle w:val="Nvel1-SemNum"/>
        <w:spacing w:lineRule="auto" w:line="312" w:before="120" w:after="288"/>
        <w:ind w:hanging="0" w:left="357"/>
        <w:rPr>
          <w:color w:val="auto"/>
          <w:sz w:val="24"/>
          <w:szCs w:val="24"/>
          <w:highlight w:val="none"/>
        </w:rPr>
      </w:pPr>
      <w:r>
        <w:rPr>
          <w:color w:val="auto"/>
          <w:sz w:val="24"/>
          <w:szCs w:val="24"/>
        </w:rPr>
        <w:t>Garantia da contratação</w:t>
      </w:r>
    </w:p>
    <w:p>
      <w:pPr>
        <w:pStyle w:val="Nvel2-Red"/>
        <w:numPr>
          <w:ilvl w:val="1"/>
          <w:numId w:val="113"/>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Não haverá exigência da garantia da contratação dos </w:t>
      </w:r>
      <w:r>
        <w:fldChar w:fldCharType="begin"/>
      </w:r>
      <w:r>
        <w:rPr>
          <w:rStyle w:val="Hyperlink"/>
          <w:sz w:val="24"/>
          <w:i w:val="false"/>
          <w:szCs w:val="24"/>
          <w:iCs w:val="false"/>
          <w:color w:val="auto"/>
        </w:rPr>
        <w:instrText xml:space="preserve"> HYPERLINK "http://www.planalto.gov.br/ccivil_03/_ato2019-2022/2021/lei/L14133.htm" \l "art96"</w:instrText>
      </w:r>
      <w:r>
        <w:rPr>
          <w:rStyle w:val="Hyperlink"/>
          <w:sz w:val="24"/>
          <w:i w:val="false"/>
          <w:szCs w:val="24"/>
          <w:iCs w:val="false"/>
          <w:color w:val="auto"/>
        </w:rPr>
        <w:fldChar w:fldCharType="separate"/>
      </w:r>
      <w:r>
        <w:rPr>
          <w:rStyle w:val="Hyperlink"/>
          <w:i w:val="false"/>
          <w:iCs w:val="false"/>
          <w:color w:val="auto"/>
          <w:sz w:val="24"/>
          <w:szCs w:val="24"/>
        </w:rPr>
        <w:t>artigos 96 e seguintes da Lei nº 14.133, de 2021</w:t>
      </w:r>
      <w:r>
        <w:rPr>
          <w:rStyle w:val="Hyperlink"/>
          <w:sz w:val="24"/>
          <w:i w:val="false"/>
          <w:szCs w:val="24"/>
          <w:iCs w:val="false"/>
          <w:color w:val="auto"/>
        </w:rPr>
        <w:fldChar w:fldCharType="end"/>
      </w:r>
      <w:r>
        <w:rPr>
          <w:rStyle w:val="Hyperlink"/>
          <w:i w:val="false"/>
          <w:iCs w:val="false"/>
          <w:color w:val="auto"/>
          <w:sz w:val="24"/>
          <w:szCs w:val="24"/>
        </w:rPr>
        <w:t>.</w:t>
      </w:r>
    </w:p>
    <w:p>
      <w:pPr>
        <w:pStyle w:val="Nivel01"/>
        <w:numPr>
          <w:ilvl w:val="0"/>
          <w:numId w:val="114"/>
        </w:numPr>
        <w:spacing w:lineRule="auto" w:line="312" w:before="120" w:after="288"/>
        <w:rPr>
          <w:sz w:val="24"/>
          <w:szCs w:val="24"/>
          <w:highlight w:val="none"/>
        </w:rPr>
      </w:pPr>
      <w:r>
        <w:rPr>
          <w:sz w:val="24"/>
          <w:szCs w:val="24"/>
        </w:rPr>
        <w:t>MODELO DE EXECUÇÃO DO OBJETO</w:t>
      </w:r>
    </w:p>
    <w:p>
      <w:pPr>
        <w:pStyle w:val="Nvel1-SemNum"/>
        <w:spacing w:lineRule="auto" w:line="312" w:before="120" w:after="288"/>
        <w:ind w:hanging="0" w:left="357"/>
        <w:rPr>
          <w:color w:themeColor="text1" w:val="000000"/>
          <w:sz w:val="24"/>
          <w:szCs w:val="24"/>
          <w:highlight w:val="none"/>
          <w14:textFill>
            <w14:solidFill>
              <w14:schemeClr w14:val="tx1"/>
            </w14:solidFill>
          </w14:textFill>
        </w:rPr>
      </w:pPr>
      <w:permStart w:id="6" w:edGrp="everyone"/>
      <w:r>
        <w:rPr>
          <w:color w:themeColor="text1" w:val="000000"/>
          <w:sz w:val="24"/>
          <w:szCs w:val="24"/>
          <w14:textFill>
            <w14:solidFill>
              <w14:schemeClr w14:val="tx1"/>
            </w14:solidFill>
          </w14:textFill>
        </w:rPr>
        <w:t>Condições de Entrega</w:t>
      </w:r>
    </w:p>
    <w:p>
      <w:pPr>
        <w:pStyle w:val="Nvel2-Red"/>
        <w:numPr>
          <w:ilvl w:val="1"/>
          <w:numId w:val="115"/>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O prazo de</w:t>
      </w:r>
      <w:r>
        <w:rPr>
          <w:i w:val="false"/>
          <w:iCs w:val="false"/>
          <w:color w:val="auto"/>
          <w:sz w:val="24"/>
          <w:szCs w:val="24"/>
          <w:lang w:val="pt-BR"/>
        </w:rPr>
        <w:t xml:space="preserve"> realização do</w:t>
      </w:r>
      <w:r>
        <w:rPr>
          <w:i w:val="false"/>
          <w:iCs w:val="false"/>
          <w:color w:val="auto"/>
          <w:sz w:val="24"/>
          <w:szCs w:val="24"/>
        </w:rPr>
        <w:t>s</w:t>
      </w:r>
      <w:r>
        <w:rPr>
          <w:i w:val="false"/>
          <w:iCs w:val="false"/>
          <w:color w:val="auto"/>
          <w:sz w:val="24"/>
          <w:szCs w:val="24"/>
          <w:lang w:val="pt-BR"/>
        </w:rPr>
        <w:t xml:space="preserve"> serviços</w:t>
      </w:r>
      <w:r>
        <w:rPr>
          <w:i w:val="false"/>
          <w:iCs w:val="false"/>
          <w:color w:val="auto"/>
          <w:sz w:val="24"/>
          <w:szCs w:val="24"/>
        </w:rPr>
        <w:t xml:space="preserve"> é de </w:t>
      </w:r>
      <w:r>
        <w:rPr>
          <w:i w:val="false"/>
          <w:iCs w:val="false"/>
          <w:color w:val="auto"/>
          <w:sz w:val="24"/>
          <w:szCs w:val="24"/>
          <w:lang w:val="pt-BR"/>
        </w:rPr>
        <w:t>05 (cinco)</w:t>
      </w:r>
      <w:r>
        <w:rPr>
          <w:i w:val="false"/>
          <w:iCs w:val="false"/>
          <w:color w:val="auto"/>
          <w:sz w:val="24"/>
          <w:szCs w:val="24"/>
        </w:rPr>
        <w:t xml:space="preserve"> dias, contados do(a) </w:t>
      </w:r>
      <w:r>
        <w:rPr>
          <w:i w:val="false"/>
          <w:iCs w:val="false"/>
          <w:color w:val="auto"/>
          <w:sz w:val="24"/>
          <w:szCs w:val="24"/>
          <w:lang w:val="pt-BR"/>
        </w:rPr>
        <w:t>recebimento da ordem de serviço</w:t>
      </w:r>
      <w:r>
        <w:rPr>
          <w:i w:val="false"/>
          <w:iCs w:val="false"/>
          <w:color w:val="auto"/>
          <w:sz w:val="24"/>
          <w:szCs w:val="24"/>
        </w:rPr>
        <w:t xml:space="preserve">, em remessa única. </w:t>
      </w:r>
    </w:p>
    <w:p>
      <w:pPr>
        <w:pStyle w:val="Nivel2"/>
        <w:numPr>
          <w:ilvl w:val="1"/>
          <w:numId w:val="116"/>
        </w:numPr>
        <w:spacing w:lineRule="auto" w:line="312" w:before="120" w:after="288"/>
        <w:ind w:firstLine="709" w:left="0"/>
        <w:rPr>
          <w:i w:val="false"/>
          <w:i w:val="false"/>
          <w:iCs w:val="false"/>
          <w:color w:val="auto"/>
          <w:sz w:val="24"/>
          <w:szCs w:val="24"/>
          <w:highlight w:val="none"/>
        </w:rPr>
      </w:pPr>
      <w:r>
        <w:rPr>
          <w:sz w:val="24"/>
          <w:szCs w:val="24"/>
        </w:rPr>
        <w:t>O</w:t>
      </w:r>
      <w:r>
        <w:rPr>
          <w:sz w:val="24"/>
          <w:szCs w:val="24"/>
          <w:lang w:val="pt-BR"/>
        </w:rPr>
        <w:t>s</w:t>
      </w:r>
      <w:r>
        <w:rPr>
          <w:sz w:val="24"/>
          <w:szCs w:val="24"/>
        </w:rPr>
        <w:t xml:space="preserve"> </w:t>
      </w:r>
      <w:r>
        <w:rPr>
          <w:sz w:val="24"/>
          <w:szCs w:val="24"/>
          <w:lang w:val="pt-BR"/>
        </w:rPr>
        <w:t>serviços deverá ser realizado nas dependências da CONTRATADA podendo ser requisitados em qualquer dia da semana, inclusive sábado, domingo e feriados.</w:t>
      </w:r>
    </w:p>
    <w:p>
      <w:pPr>
        <w:pStyle w:val="Nivel2"/>
        <w:numPr>
          <w:ilvl w:val="1"/>
          <w:numId w:val="117"/>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 xml:space="preserve">Para a execução serviço, caso a empresa vencedora venha necessitar de permanecer com o veículo, a contratada será responsável pela guarda do mesmo bem como autuações em decorrência de infrações ao CTB, ocasionados a terceiros e ao próprio veículo, durante o tempo em que estiver de posse do mesmo </w:t>
      </w:r>
    </w:p>
    <w:p>
      <w:pPr>
        <w:pStyle w:val="Nivel2"/>
        <w:numPr>
          <w:ilvl w:val="1"/>
          <w:numId w:val="118"/>
        </w:numPr>
        <w:spacing w:lineRule="auto" w:line="312" w:before="120" w:after="288"/>
        <w:ind w:firstLine="709" w:left="0"/>
        <w:rPr>
          <w:i w:val="false"/>
          <w:i w:val="false"/>
          <w:iCs w:val="false"/>
          <w:color w:val="auto"/>
          <w:sz w:val="24"/>
          <w:szCs w:val="24"/>
          <w:highlight w:val="none"/>
        </w:rPr>
      </w:pPr>
      <w:r>
        <w:rPr>
          <w:sz w:val="24"/>
          <w:szCs w:val="24"/>
          <w:lang w:val="pt-BR"/>
        </w:rPr>
        <w:t>Após a conclusão dos serviços de recapagem os materiais deverão ser entregues no seguinte endereço: Almoxarifado Central - Rua: Capitão José Apolinario, n° 1.345 – Arcos/MG.</w:t>
      </w:r>
    </w:p>
    <w:p>
      <w:pPr>
        <w:pStyle w:val="Nivel2"/>
        <w:numPr>
          <w:ilvl w:val="1"/>
          <w:numId w:val="119"/>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A empresa vencedora, durante a execução dos serviços, se obriga a fornecer todos os materiais/insumos, mão de obra e ferramentas necessários a perfeita execução dos serviços, ou seja todos os materiais e peças necessários ao serviço de fornecimento, montagem e seus acessórios, bem como a mão de obra especializada, é de responsabilidade exclusiva da contratada.</w:t>
      </w:r>
    </w:p>
    <w:p>
      <w:pPr>
        <w:pStyle w:val="Nivel2"/>
        <w:numPr>
          <w:ilvl w:val="1"/>
          <w:numId w:val="120"/>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A contratada deverá ter sua sede em um raio de até 40 KM do Almoxarifado Central, devendo a mesma permitir livre acesso de representantes da prefeitura, para que se proceda à fiscalização dos trabalhos.</w:t>
      </w:r>
    </w:p>
    <w:p>
      <w:pPr>
        <w:pStyle w:val="Nvel2-Red"/>
        <w:numPr>
          <w:ilvl w:val="1"/>
          <w:numId w:val="121"/>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O custo referente ao transporte dos </w:t>
      </w:r>
      <w:r>
        <w:rPr>
          <w:i w:val="false"/>
          <w:iCs w:val="false"/>
          <w:color w:val="auto"/>
          <w:sz w:val="24"/>
          <w:szCs w:val="24"/>
          <w:lang w:val="pt-BR"/>
        </w:rPr>
        <w:t>materiais</w:t>
      </w:r>
      <w:r>
        <w:rPr>
          <w:i w:val="false"/>
          <w:iCs w:val="false"/>
          <w:color w:val="auto"/>
          <w:sz w:val="24"/>
          <w:szCs w:val="24"/>
        </w:rPr>
        <w:t xml:space="preserve"> </w:t>
      </w:r>
      <w:r>
        <w:rPr>
          <w:i w:val="false"/>
          <w:iCs w:val="false"/>
          <w:color w:val="auto"/>
          <w:sz w:val="24"/>
          <w:szCs w:val="24"/>
          <w:lang w:val="pt-BR"/>
        </w:rPr>
        <w:t xml:space="preserve">para realização dos serviços </w:t>
      </w:r>
      <w:r>
        <w:rPr>
          <w:i w:val="false"/>
          <w:iCs w:val="false"/>
          <w:color w:val="auto"/>
          <w:sz w:val="24"/>
          <w:szCs w:val="24"/>
        </w:rPr>
        <w:t>será de responsabilidade d</w:t>
      </w:r>
      <w:r>
        <w:rPr>
          <w:i w:val="false"/>
          <w:iCs w:val="false"/>
          <w:color w:val="auto"/>
          <w:sz w:val="24"/>
          <w:szCs w:val="24"/>
          <w:lang w:val="pt-BR"/>
        </w:rPr>
        <w:t>a</w:t>
      </w:r>
      <w:r>
        <w:rPr>
          <w:i w:val="false"/>
          <w:iCs w:val="false"/>
          <w:color w:val="auto"/>
          <w:sz w:val="24"/>
          <w:szCs w:val="24"/>
        </w:rPr>
        <w:t xml:space="preserve"> Contratad</w:t>
      </w:r>
      <w:r>
        <w:rPr>
          <w:i w:val="false"/>
          <w:iCs w:val="false"/>
          <w:color w:val="auto"/>
          <w:sz w:val="24"/>
          <w:szCs w:val="24"/>
          <w:lang w:val="pt-BR"/>
        </w:rPr>
        <w:t>a.</w:t>
      </w:r>
      <w:r>
        <w:rPr>
          <w:i w:val="false"/>
          <w:iCs w:val="false"/>
          <w:color w:val="auto"/>
          <w:sz w:val="24"/>
          <w:szCs w:val="24"/>
        </w:rPr>
        <w:t xml:space="preserve"> </w:t>
      </w:r>
    </w:p>
    <w:p>
      <w:pPr>
        <w:pStyle w:val="Nvel1-SemNum"/>
        <w:spacing w:lineRule="auto" w:line="312" w:before="120" w:after="288"/>
        <w:ind w:hanging="0" w:left="357"/>
        <w:rPr>
          <w:color w:val="auto"/>
          <w:sz w:val="24"/>
          <w:szCs w:val="24"/>
          <w:highlight w:val="none"/>
        </w:rPr>
      </w:pPr>
      <w:r>
        <w:rPr>
          <w:color w:val="auto"/>
          <w:sz w:val="24"/>
          <w:szCs w:val="24"/>
        </w:rPr>
        <w:t xml:space="preserve">Garantia, manutenção e assistência técnica </w:t>
      </w:r>
    </w:p>
    <w:p>
      <w:pPr>
        <w:pStyle w:val="Nivel2"/>
        <w:numPr>
          <w:ilvl w:val="1"/>
          <w:numId w:val="122"/>
        </w:numPr>
        <w:spacing w:lineRule="auto" w:line="312" w:before="120" w:after="288"/>
        <w:ind w:hanging="0" w:left="0"/>
        <w:rPr>
          <w:sz w:val="24"/>
          <w:szCs w:val="24"/>
          <w:highlight w:val="none"/>
        </w:rPr>
      </w:pPr>
      <w:r>
        <w:rPr>
          <w:sz w:val="24"/>
          <w:szCs w:val="24"/>
        </w:rPr>
        <w:t>O prazo de garantia é aquele estabelecido na Lei nº 8.078, de 11 de setembro de 1990 (Código de Defesa do Consumidor)</w:t>
      </w:r>
    </w:p>
    <w:p>
      <w:pPr>
        <w:pStyle w:val="Nvel2-Red"/>
        <w:numPr>
          <w:ilvl w:val="1"/>
          <w:numId w:val="123"/>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O</w:t>
      </w:r>
      <w:r>
        <w:rPr>
          <w:i w:val="false"/>
          <w:iCs w:val="false"/>
          <w:color w:val="auto"/>
          <w:sz w:val="24"/>
          <w:szCs w:val="24"/>
        </w:rPr>
        <w:t xml:space="preserve">s </w:t>
      </w:r>
      <w:r>
        <w:rPr>
          <w:i w:val="false"/>
          <w:iCs w:val="false"/>
          <w:color w:val="auto"/>
          <w:sz w:val="24"/>
          <w:szCs w:val="24"/>
          <w:lang w:val="pt-BR"/>
        </w:rPr>
        <w:t>materiais</w:t>
      </w:r>
      <w:r>
        <w:rPr>
          <w:i w:val="false"/>
          <w:iCs w:val="false"/>
          <w:color w:val="auto"/>
          <w:sz w:val="24"/>
          <w:szCs w:val="24"/>
        </w:rPr>
        <w:t xml:space="preserve">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pPr>
        <w:pStyle w:val="Nvel2-Red"/>
        <w:numPr>
          <w:ilvl w:val="1"/>
          <w:numId w:val="124"/>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Uma vez notificado, o Contratado realizará a reparação ou substituição dos bens que apresentarem vício ou defeito no prazo de até</w:t>
      </w:r>
      <w:r>
        <w:rPr>
          <w:i w:val="false"/>
          <w:iCs w:val="false"/>
          <w:color w:val="auto"/>
          <w:sz w:val="24"/>
          <w:szCs w:val="24"/>
          <w:lang w:val="pt-BR"/>
        </w:rPr>
        <w:t xml:space="preserve"> 03 (três)</w:t>
      </w:r>
      <w:r>
        <w:rPr>
          <w:i w:val="false"/>
          <w:iCs w:val="false"/>
          <w:color w:val="auto"/>
          <w:sz w:val="24"/>
          <w:szCs w:val="24"/>
        </w:rPr>
        <w:t xml:space="preserve"> dias úteis, contados a partir da data de retirada do equipamento das dependências da Administração pelo Contratado ou pela assistência técnica autorizada. </w:t>
      </w:r>
    </w:p>
    <w:p>
      <w:pPr>
        <w:pStyle w:val="Nvel2-Red"/>
        <w:numPr>
          <w:ilvl w:val="1"/>
          <w:numId w:val="125"/>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O prazo indicado no subitem anterior, durante seu transcurso, poderá ser prorrogado uma única vez, por igual período, mediante solicitação escrita e justificada do Contratado, aceita pelo Contratante. </w:t>
      </w:r>
    </w:p>
    <w:p>
      <w:pPr>
        <w:pStyle w:val="Nvel2-Red"/>
        <w:numPr>
          <w:ilvl w:val="1"/>
          <w:numId w:val="126"/>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O custo referente ao transporte dos </w:t>
      </w:r>
      <w:r>
        <w:rPr>
          <w:i w:val="false"/>
          <w:iCs w:val="false"/>
          <w:color w:val="auto"/>
          <w:sz w:val="24"/>
          <w:szCs w:val="24"/>
          <w:lang w:val="pt-BR"/>
        </w:rPr>
        <w:t>materias</w:t>
      </w:r>
      <w:r>
        <w:rPr>
          <w:i w:val="false"/>
          <w:iCs w:val="false"/>
          <w:color w:val="auto"/>
          <w:sz w:val="24"/>
          <w:szCs w:val="24"/>
        </w:rPr>
        <w:t xml:space="preserve"> cobertos pela garantia será de responsabilidade do Contratado. </w:t>
      </w:r>
    </w:p>
    <w:p>
      <w:pPr>
        <w:pStyle w:val="Nvel2-Red"/>
        <w:numPr>
          <w:ilvl w:val="1"/>
          <w:numId w:val="127"/>
        </w:numPr>
        <w:spacing w:lineRule="auto" w:line="312" w:before="120" w:after="288"/>
        <w:ind w:firstLine="709" w:left="0"/>
        <w:rPr>
          <w:sz w:val="24"/>
          <w:szCs w:val="24"/>
          <w:highlight w:val="none"/>
        </w:rPr>
      </w:pPr>
      <w:r>
        <w:rPr>
          <w:i w:val="false"/>
          <w:iCs w:val="false"/>
          <w:color w:val="auto"/>
          <w:sz w:val="24"/>
          <w:szCs w:val="24"/>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r>
        <w:rPr>
          <w:sz w:val="24"/>
          <w:szCs w:val="24"/>
        </w:rPr>
        <w:t>.</w:t>
      </w:r>
      <w:permEnd w:id="6"/>
    </w:p>
    <w:p>
      <w:pPr>
        <w:pStyle w:val="Nivel01"/>
        <w:numPr>
          <w:ilvl w:val="0"/>
          <w:numId w:val="128"/>
        </w:numPr>
        <w:spacing w:lineRule="auto" w:line="312" w:before="120" w:after="288"/>
        <w:rPr>
          <w:sz w:val="24"/>
          <w:szCs w:val="24"/>
          <w:highlight w:val="none"/>
        </w:rPr>
      </w:pPr>
      <w:r>
        <w:rPr>
          <w:sz w:val="24"/>
          <w:szCs w:val="24"/>
        </w:rPr>
        <w:t>MODELO DE GESTÃO DO CONTRATO</w:t>
      </w:r>
    </w:p>
    <w:p>
      <w:pPr>
        <w:pStyle w:val="Nivel2"/>
        <w:numPr>
          <w:ilvl w:val="1"/>
          <w:numId w:val="129"/>
        </w:numPr>
        <w:spacing w:lineRule="auto" w:line="312" w:before="120" w:after="288"/>
        <w:ind w:firstLine="709" w:left="0"/>
        <w:rPr>
          <w:sz w:val="24"/>
          <w:szCs w:val="24"/>
          <w:highlight w:val="none"/>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Nivel2"/>
        <w:numPr>
          <w:ilvl w:val="1"/>
          <w:numId w:val="130"/>
        </w:numPr>
        <w:spacing w:lineRule="auto" w:line="312" w:before="120" w:after="288"/>
        <w:ind w:firstLine="709" w:left="0"/>
        <w:rPr>
          <w:sz w:val="24"/>
          <w:szCs w:val="24"/>
          <w:highlight w:val="none"/>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Nivel2"/>
        <w:numPr>
          <w:ilvl w:val="1"/>
          <w:numId w:val="131"/>
        </w:numPr>
        <w:spacing w:lineRule="auto" w:line="312" w:before="120" w:after="288"/>
        <w:ind w:firstLine="709" w:left="0"/>
        <w:rPr>
          <w:sz w:val="24"/>
          <w:szCs w:val="24"/>
          <w:highlight w:val="none"/>
        </w:rPr>
      </w:pPr>
      <w:r>
        <w:rPr>
          <w:sz w:val="24"/>
          <w:szCs w:val="24"/>
        </w:rPr>
        <w:t>As comunicações entre o órgão ou entidade e a contratada devem ser realizadas por escrito sempre que o ato exigir tal formalidade, admitindo-se o uso de mensagem eletrônica para esse fim.</w:t>
      </w:r>
    </w:p>
    <w:p>
      <w:pPr>
        <w:pStyle w:val="Nivel2"/>
        <w:numPr>
          <w:ilvl w:val="1"/>
          <w:numId w:val="132"/>
        </w:numPr>
        <w:spacing w:lineRule="auto" w:line="312" w:before="120" w:after="288"/>
        <w:ind w:firstLine="709" w:left="0"/>
        <w:rPr>
          <w:sz w:val="24"/>
          <w:szCs w:val="24"/>
          <w:highlight w:val="none"/>
        </w:rPr>
      </w:pPr>
      <w:r>
        <w:rPr>
          <w:sz w:val="24"/>
          <w:szCs w:val="24"/>
        </w:rPr>
        <w:t>O Município poderá convocar representante da empresa para adoção de providências que devam ser cumpridas de imediato.</w:t>
      </w:r>
    </w:p>
    <w:p>
      <w:pPr>
        <w:pStyle w:val="Nvel2-Red"/>
        <w:numPr>
          <w:ilvl w:val="1"/>
          <w:numId w:val="133"/>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Após a assinatura do contrato ou instrumento equivalente</w:t>
      </w:r>
      <w:r>
        <w:rPr>
          <w:i w:val="false"/>
          <w:iCs w:val="false"/>
          <w:strike/>
          <w:color w:val="auto"/>
          <w:sz w:val="24"/>
          <w:szCs w:val="24"/>
        </w:rPr>
        <w:t>,</w:t>
      </w:r>
      <w:r>
        <w:rPr>
          <w:i w:val="false"/>
          <w:iCs w:val="false"/>
          <w:color w:val="auto"/>
          <w:sz w:val="24"/>
          <w:szCs w:val="24"/>
        </w:rPr>
        <w:t xml:space="preserve"> 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ivel2"/>
        <w:numPr>
          <w:ilvl w:val="1"/>
          <w:numId w:val="134"/>
        </w:numPr>
        <w:spacing w:lineRule="auto" w:line="312" w:before="120" w:after="288"/>
        <w:ind w:firstLine="709" w:left="0"/>
        <w:rPr>
          <w:sz w:val="24"/>
          <w:szCs w:val="24"/>
          <w:highlight w:val="none"/>
        </w:rPr>
      </w:pPr>
      <w:r>
        <w:rPr>
          <w:sz w:val="24"/>
          <w:szCs w:val="24"/>
        </w:rPr>
        <w:t>A execução do contrato deverá ser acompanhada e fiscalizada pelo(s) fiscal(is) do contrato, ou pelos respectivos substitutos (</w:t>
      </w:r>
      <w:r>
        <w:fldChar w:fldCharType="begin"/>
      </w:r>
      <w:r>
        <w:rPr>
          <w:rStyle w:val="Hyperlink"/>
          <w:sz w:val="24"/>
          <w:szCs w:val="24"/>
        </w:rPr>
        <w:instrText xml:space="preserve"> HYPERLINK "http://www.planalto.gov.br/ccivil_03/_ato2019-2022/2021/lei/L14133.htm" \l "art117"</w:instrText>
      </w:r>
      <w:r>
        <w:rPr>
          <w:rStyle w:val="Hyperlink"/>
          <w:sz w:val="24"/>
          <w:szCs w:val="24"/>
        </w:rPr>
        <w:fldChar w:fldCharType="separate"/>
      </w:r>
      <w:r>
        <w:rPr>
          <w:rStyle w:val="Hyperlink"/>
          <w:sz w:val="24"/>
          <w:szCs w:val="24"/>
        </w:rPr>
        <w:t>Lei nº 14.133, de 2021, art. 117, caput</w:t>
      </w:r>
      <w:r>
        <w:rPr>
          <w:rStyle w:val="Hyperlink"/>
          <w:sz w:val="24"/>
          <w:szCs w:val="24"/>
        </w:rPr>
        <w:fldChar w:fldCharType="end"/>
      </w:r>
      <w:r>
        <w:rPr>
          <w:sz w:val="24"/>
          <w:szCs w:val="24"/>
        </w:rPr>
        <w:t>), sendo indicado para a presente contratação o servidor</w:t>
      </w:r>
      <w:r>
        <w:rPr>
          <w:sz w:val="24"/>
          <w:szCs w:val="24"/>
          <w:lang w:val="pt-BR"/>
        </w:rPr>
        <w:t xml:space="preserve"> Sr. Kennedy Wanderson Calixto (MASP:9099/9</w:t>
      </w:r>
      <w:permStart w:id="7" w:edGrp="everyone"/>
      <w:r>
        <w:rPr>
          <w:sz w:val="24"/>
          <w:szCs w:val="24"/>
          <w:lang w:val="pt-BR"/>
        </w:rPr>
        <w:t>) e o Sr. Dirceu Carvalho Pinto (MASP: 6877/3)</w:t>
      </w:r>
      <w:r>
        <w:rPr>
          <w:sz w:val="24"/>
          <w:szCs w:val="24"/>
        </w:rPr>
        <w:t xml:space="preserve"> para atuar como fiscal do contrato e o servidor</w:t>
      </w:r>
      <w:r>
        <w:rPr>
          <w:sz w:val="24"/>
          <w:szCs w:val="24"/>
          <w:lang w:val="pt-BR"/>
        </w:rPr>
        <w:t xml:space="preserve"> Sr. Daniel Ribeiro de Mendonça (MASP 6602/8) e Sr. Elson Ribeiro da Silva (MASP 9175/8) </w:t>
      </w:r>
      <w:r>
        <w:rPr>
          <w:sz w:val="24"/>
          <w:szCs w:val="24"/>
        </w:rPr>
        <w:t>para atuar como gestor do contrato.</w:t>
      </w:r>
      <w:permEnd w:id="7"/>
    </w:p>
    <w:p>
      <w:pPr>
        <w:pStyle w:val="Nivel2"/>
        <w:numPr>
          <w:ilvl w:val="1"/>
          <w:numId w:val="135"/>
        </w:numPr>
        <w:spacing w:lineRule="auto" w:line="312" w:before="120" w:after="288"/>
        <w:ind w:firstLine="709" w:left="0"/>
        <w:rPr>
          <w:sz w:val="24"/>
          <w:szCs w:val="24"/>
          <w:highlight w:val="none"/>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Nivel3"/>
        <w:numPr>
          <w:ilvl w:val="2"/>
          <w:numId w:val="136"/>
        </w:numPr>
        <w:spacing w:lineRule="auto" w:line="312" w:before="120" w:after="288"/>
        <w:ind w:firstLine="709" w:left="170"/>
        <w:rPr>
          <w:sz w:val="24"/>
          <w:szCs w:val="24"/>
          <w:highlight w:val="none"/>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rPr>
          <w:rStyle w:val="Hyperlink"/>
          <w:sz w:val="24"/>
          <w:szCs w:val="24"/>
        </w:rPr>
        <w:instrText xml:space="preserve"> HYPERLINK "http://www.planalto.gov.br/ccivil_03/_ato2019-2022/2021/lei/L14133.htm" \l "art117§1"</w:instrText>
      </w:r>
      <w:r>
        <w:rPr>
          <w:rStyle w:val="Hyperlink"/>
          <w:sz w:val="24"/>
          <w:szCs w:val="24"/>
        </w:rPr>
        <w:fldChar w:fldCharType="separate"/>
      </w:r>
      <w:r>
        <w:rPr>
          <w:rStyle w:val="Hyperlink"/>
          <w:sz w:val="24"/>
          <w:szCs w:val="24"/>
        </w:rPr>
        <w:t>Lei nº 14.133, de 2021, art. 117, §1º</w:t>
      </w:r>
      <w:r>
        <w:rPr>
          <w:rStyle w:val="Hyperlink"/>
          <w:sz w:val="24"/>
          <w:szCs w:val="24"/>
        </w:rPr>
        <w:fldChar w:fldCharType="end"/>
      </w:r>
      <w:r>
        <w:rPr>
          <w:sz w:val="24"/>
          <w:szCs w:val="24"/>
        </w:rPr>
        <w:t>.</w:t>
      </w:r>
    </w:p>
    <w:p>
      <w:pPr>
        <w:pStyle w:val="Nivel3"/>
        <w:numPr>
          <w:ilvl w:val="2"/>
          <w:numId w:val="137"/>
        </w:numPr>
        <w:spacing w:lineRule="auto" w:line="312" w:before="120" w:after="288"/>
        <w:ind w:firstLine="709" w:left="170"/>
        <w:rPr>
          <w:sz w:val="24"/>
          <w:szCs w:val="24"/>
          <w:highlight w:val="none"/>
        </w:rPr>
      </w:pPr>
      <w:r>
        <w:rPr>
          <w:sz w:val="24"/>
          <w:szCs w:val="24"/>
        </w:rPr>
        <w:t xml:space="preserve">Identificada qualquer inexatidão ou irregularidade, o fiscal do contrato emitirá notificações para a correção da execução do contrato, determinando prazo para a correção. </w:t>
      </w:r>
    </w:p>
    <w:p>
      <w:pPr>
        <w:pStyle w:val="Nivel3"/>
        <w:numPr>
          <w:ilvl w:val="2"/>
          <w:numId w:val="138"/>
        </w:numPr>
        <w:spacing w:lineRule="auto" w:line="312" w:before="120" w:after="288"/>
        <w:ind w:firstLine="709" w:left="170"/>
        <w:rPr>
          <w:sz w:val="24"/>
          <w:szCs w:val="24"/>
          <w:highlight w:val="none"/>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Nivel3"/>
        <w:numPr>
          <w:ilvl w:val="2"/>
          <w:numId w:val="139"/>
        </w:numPr>
        <w:spacing w:lineRule="auto" w:line="312" w:before="120" w:after="288"/>
        <w:ind w:firstLine="709" w:left="170"/>
        <w:rPr>
          <w:sz w:val="24"/>
          <w:szCs w:val="24"/>
          <w:highlight w:val="none"/>
        </w:rPr>
      </w:pPr>
      <w:r>
        <w:rPr>
          <w:sz w:val="24"/>
          <w:szCs w:val="24"/>
        </w:rPr>
        <w:t>No caso de ocorrências que possam inviabilizar a execução do contrato nas datas aprazadas, o fiscal do contrato comunicará o fato imediatamente ao gestor do contrato</w:t>
      </w:r>
    </w:p>
    <w:p>
      <w:pPr>
        <w:pStyle w:val="Nivel3"/>
        <w:numPr>
          <w:ilvl w:val="2"/>
          <w:numId w:val="140"/>
        </w:numPr>
        <w:spacing w:lineRule="auto" w:line="312" w:before="120" w:after="288"/>
        <w:ind w:firstLine="709" w:left="170"/>
        <w:rPr>
          <w:sz w:val="24"/>
          <w:szCs w:val="24"/>
          <w:highlight w:val="none"/>
        </w:rPr>
      </w:pPr>
      <w:r>
        <w:rPr>
          <w:sz w:val="24"/>
          <w:szCs w:val="24"/>
        </w:rPr>
        <w:t>O fiscal do contrato comunicar ao gestor do contrato, em tempo hábil, o término do contrato sob sua responsabilidade, com vistas à renovação tempestiva ou à prorrogação contratual.</w:t>
      </w:r>
    </w:p>
    <w:p>
      <w:pPr>
        <w:pStyle w:val="Nivel2"/>
        <w:numPr>
          <w:ilvl w:val="1"/>
          <w:numId w:val="141"/>
        </w:numPr>
        <w:spacing w:lineRule="auto" w:line="312" w:before="120" w:after="288"/>
        <w:ind w:firstLine="709" w:left="0"/>
        <w:rPr>
          <w:sz w:val="24"/>
          <w:szCs w:val="24"/>
          <w:highlight w:val="none"/>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Nivel3"/>
        <w:numPr>
          <w:ilvl w:val="2"/>
          <w:numId w:val="142"/>
        </w:numPr>
        <w:spacing w:lineRule="auto" w:line="312" w:before="120" w:after="288"/>
        <w:ind w:firstLine="709" w:left="170"/>
        <w:rPr>
          <w:sz w:val="24"/>
          <w:szCs w:val="24"/>
          <w:highlight w:val="none"/>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Nivel2"/>
        <w:numPr>
          <w:ilvl w:val="1"/>
          <w:numId w:val="143"/>
        </w:numPr>
        <w:spacing w:lineRule="auto" w:line="312" w:before="120" w:after="288"/>
        <w:ind w:firstLine="709" w:left="0"/>
        <w:rPr>
          <w:sz w:val="24"/>
          <w:szCs w:val="24"/>
          <w:highlight w:val="none"/>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Nivel3"/>
        <w:numPr>
          <w:ilvl w:val="2"/>
          <w:numId w:val="144"/>
        </w:numPr>
        <w:spacing w:lineRule="auto" w:line="312" w:before="120" w:after="288"/>
        <w:ind w:firstLine="709" w:left="170"/>
        <w:rPr>
          <w:sz w:val="24"/>
          <w:szCs w:val="24"/>
          <w:highlight w:val="none"/>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Nivel3"/>
        <w:numPr>
          <w:ilvl w:val="2"/>
          <w:numId w:val="145"/>
        </w:numPr>
        <w:spacing w:lineRule="auto" w:line="312" w:before="120" w:after="288"/>
        <w:ind w:firstLine="709" w:left="170"/>
        <w:rPr>
          <w:sz w:val="24"/>
          <w:szCs w:val="24"/>
          <w:highlight w:val="none"/>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Nivel3"/>
        <w:numPr>
          <w:ilvl w:val="2"/>
          <w:numId w:val="146"/>
        </w:numPr>
        <w:spacing w:lineRule="auto" w:line="312" w:before="120" w:after="288"/>
        <w:ind w:firstLine="709" w:left="170"/>
        <w:rPr>
          <w:sz w:val="24"/>
          <w:szCs w:val="24"/>
          <w:highlight w:val="none"/>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Nivel01"/>
        <w:numPr>
          <w:ilvl w:val="0"/>
          <w:numId w:val="147"/>
        </w:numPr>
        <w:spacing w:lineRule="auto" w:line="312" w:before="120" w:after="288"/>
        <w:rPr>
          <w:sz w:val="24"/>
          <w:szCs w:val="24"/>
          <w:highlight w:val="none"/>
        </w:rPr>
      </w:pPr>
      <w:r>
        <w:rPr>
          <w:sz w:val="24"/>
          <w:szCs w:val="24"/>
        </w:rPr>
        <w:t>CRITÉRIOS DE MEDIÇÃO E DE PAGAMENTO</w:t>
      </w:r>
    </w:p>
    <w:p>
      <w:pPr>
        <w:pStyle w:val="Nvel1-SemNum"/>
        <w:spacing w:lineRule="auto" w:line="312" w:before="120" w:after="288"/>
        <w:ind w:hanging="0" w:left="357"/>
        <w:rPr>
          <w:color w:val="auto"/>
          <w:sz w:val="24"/>
          <w:szCs w:val="24"/>
          <w:highlight w:val="none"/>
          <w:lang w:eastAsia="en-US"/>
        </w:rPr>
      </w:pPr>
      <w:r>
        <w:rPr>
          <w:color w:val="auto"/>
          <w:sz w:val="24"/>
          <w:szCs w:val="24"/>
          <w:lang w:eastAsia="en-US"/>
        </w:rPr>
        <w:t>Recebimento do Objeto</w:t>
      </w:r>
    </w:p>
    <w:p>
      <w:pPr>
        <w:pStyle w:val="Nivel2"/>
        <w:numPr>
          <w:ilvl w:val="1"/>
          <w:numId w:val="148"/>
        </w:numPr>
        <w:spacing w:lineRule="auto" w:line="312" w:before="120" w:after="288"/>
        <w:ind w:firstLine="709" w:left="0"/>
        <w:rPr>
          <w:sz w:val="24"/>
          <w:szCs w:val="24"/>
          <w:highlight w:val="none"/>
          <w:lang w:eastAsia="en-US"/>
        </w:rPr>
      </w:pPr>
      <w:r>
        <w:rPr>
          <w:sz w:val="24"/>
          <w:szCs w:val="24"/>
          <w:lang w:eastAsia="en-US"/>
        </w:rPr>
        <w:t xml:space="preserve">Os </w:t>
      </w:r>
      <w:r>
        <w:rPr>
          <w:sz w:val="24"/>
          <w:szCs w:val="24"/>
          <w:lang w:val="pt-BR" w:eastAsia="en-US"/>
        </w:rPr>
        <w:t>serviços</w:t>
      </w:r>
      <w:r>
        <w:rPr>
          <w:sz w:val="24"/>
          <w:szCs w:val="24"/>
          <w:lang w:eastAsia="en-US"/>
        </w:rPr>
        <w:t xml:space="preserve"> serão recebido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Pr>
          <w:color w:val="FF0000"/>
          <w:sz w:val="24"/>
          <w:szCs w:val="24"/>
          <w:lang w:eastAsia="en-US"/>
        </w:rPr>
        <w:t xml:space="preserve"> </w:t>
      </w:r>
      <w:r>
        <w:rPr>
          <w:sz w:val="24"/>
          <w:szCs w:val="24"/>
          <w:lang w:eastAsia="en-US"/>
        </w:rPr>
        <w:t>e na proposta.</w:t>
      </w:r>
    </w:p>
    <w:p>
      <w:pPr>
        <w:pStyle w:val="Nivel2"/>
        <w:numPr>
          <w:ilvl w:val="1"/>
          <w:numId w:val="149"/>
        </w:numPr>
        <w:spacing w:lineRule="auto" w:line="312" w:before="120" w:after="288"/>
        <w:ind w:firstLine="709" w:left="0"/>
        <w:rPr>
          <w:sz w:val="24"/>
          <w:szCs w:val="24"/>
          <w:highlight w:val="none"/>
          <w:lang w:eastAsia="en-US"/>
        </w:rPr>
      </w:pPr>
      <w:r>
        <w:rPr>
          <w:sz w:val="24"/>
          <w:szCs w:val="24"/>
          <w:lang w:eastAsia="en-US"/>
        </w:rPr>
        <w:t xml:space="preserve">Os </w:t>
      </w:r>
      <w:r>
        <w:rPr>
          <w:sz w:val="24"/>
          <w:szCs w:val="24"/>
          <w:lang w:val="pt-BR" w:eastAsia="en-US"/>
        </w:rPr>
        <w:t xml:space="preserve">serviços </w:t>
      </w:r>
      <w:r>
        <w:rPr>
          <w:sz w:val="24"/>
          <w:szCs w:val="24"/>
          <w:lang w:eastAsia="en-US"/>
        </w:rPr>
        <w:t xml:space="preserve"> poderão ser rejeitados, no todo ou em parte, inclusive antes do recebimento provisório, quando em desacordo com as especificações constantes no Termo de Referência</w:t>
      </w:r>
      <w:r>
        <w:rPr>
          <w:color w:val="FF0000"/>
          <w:sz w:val="24"/>
          <w:szCs w:val="24"/>
          <w:lang w:eastAsia="en-US"/>
        </w:rPr>
        <w:t xml:space="preserve"> </w:t>
      </w:r>
      <w:r>
        <w:rPr>
          <w:sz w:val="24"/>
          <w:szCs w:val="24"/>
          <w:lang w:eastAsia="en-US"/>
        </w:rPr>
        <w:t xml:space="preserve">e na proposta, devendo ser substituídos no prazo </w:t>
      </w:r>
      <w:permStart w:id="8" w:edGrp="everyone"/>
      <w:r>
        <w:rPr>
          <w:color w:val="auto"/>
          <w:sz w:val="24"/>
          <w:szCs w:val="24"/>
          <w:lang w:eastAsia="en-US"/>
        </w:rPr>
        <w:t xml:space="preserve">de </w:t>
      </w:r>
      <w:r>
        <w:rPr>
          <w:color w:val="auto"/>
          <w:sz w:val="24"/>
          <w:szCs w:val="24"/>
          <w:lang w:val="pt-BR" w:eastAsia="en-US"/>
        </w:rPr>
        <w:t>03 (três)</w:t>
      </w:r>
      <w:r>
        <w:rPr>
          <w:color w:val="auto"/>
          <w:sz w:val="24"/>
          <w:szCs w:val="24"/>
          <w:lang w:eastAsia="en-US"/>
        </w:rPr>
        <w:t xml:space="preserve"> dias</w:t>
      </w:r>
      <w:r>
        <w:rPr>
          <w:sz w:val="24"/>
          <w:szCs w:val="24"/>
          <w:lang w:eastAsia="en-US"/>
        </w:rPr>
        <w:t>, a contar da notificação da contratada, às suas custas, sem prejuízo da aplicação das penalidades.</w:t>
      </w:r>
      <w:permEnd w:id="8"/>
    </w:p>
    <w:p>
      <w:pPr>
        <w:pStyle w:val="Nivel2"/>
        <w:numPr>
          <w:ilvl w:val="1"/>
          <w:numId w:val="150"/>
        </w:numPr>
        <w:spacing w:lineRule="auto" w:line="312" w:before="120" w:after="288"/>
        <w:ind w:firstLine="709" w:left="0"/>
        <w:rPr>
          <w:sz w:val="24"/>
          <w:szCs w:val="24"/>
          <w:highlight w:val="none"/>
          <w:lang w:eastAsia="en-US"/>
        </w:rPr>
      </w:pPr>
      <w:r>
        <w:rPr>
          <w:sz w:val="24"/>
          <w:szCs w:val="24"/>
          <w:lang w:eastAsia="en-US"/>
        </w:rPr>
        <w:t>O recebimento definitivo ocorrerá</w:t>
      </w:r>
      <w:r>
        <w:rPr>
          <w:color w:val="FF0000"/>
          <w:sz w:val="24"/>
          <w:szCs w:val="24"/>
          <w:lang w:eastAsia="en-US"/>
        </w:rPr>
        <w:t xml:space="preserve"> </w:t>
      </w:r>
      <w:r>
        <w:rPr>
          <w:sz w:val="24"/>
          <w:szCs w:val="24"/>
          <w:lang w:eastAsia="en-US"/>
        </w:rPr>
        <w:t>a contar do recebimento da nota fiscal ou instrumento de cobrança equivalente pela Administração, após a verificação da qualidade e quantidade do material e consequente aceitação mediante termo detalhado.</w:t>
      </w:r>
    </w:p>
    <w:p>
      <w:pPr>
        <w:pStyle w:val="Nivel2"/>
        <w:numPr>
          <w:ilvl w:val="1"/>
          <w:numId w:val="151"/>
        </w:numPr>
        <w:spacing w:lineRule="auto" w:line="312" w:before="120" w:after="288"/>
        <w:ind w:firstLine="709" w:left="0"/>
        <w:rPr>
          <w:sz w:val="24"/>
          <w:szCs w:val="24"/>
          <w:highlight w:val="none"/>
          <w:lang w:eastAsia="en-US"/>
        </w:rPr>
      </w:pPr>
      <w:r>
        <w:rPr>
          <w:sz w:val="24"/>
          <w:szCs w:val="24"/>
          <w:lang w:eastAsia="en-US"/>
        </w:rPr>
        <w:t xml:space="preserve">O prazo para recebimento definitivo poderá ser excepcionalmente prorrogado, </w:t>
      </w:r>
      <w:r>
        <w:rPr>
          <w:color w:val="auto"/>
          <w:sz w:val="24"/>
          <w:szCs w:val="24"/>
          <w:lang w:eastAsia="en-US"/>
        </w:rPr>
        <w:t>de forma justificada, por igual período, quando houver necessidade de diligências para a aferição do ate</w:t>
      </w:r>
      <w:r>
        <w:rPr>
          <w:sz w:val="24"/>
          <w:szCs w:val="24"/>
          <w:lang w:eastAsia="en-US"/>
        </w:rPr>
        <w:t>ndimento das exigências contratuais.</w:t>
      </w:r>
    </w:p>
    <w:p>
      <w:pPr>
        <w:pStyle w:val="Nivel2"/>
        <w:numPr>
          <w:ilvl w:val="1"/>
          <w:numId w:val="152"/>
        </w:numPr>
        <w:spacing w:lineRule="auto" w:line="312" w:before="120" w:after="288"/>
        <w:ind w:firstLine="709" w:left="0"/>
        <w:rPr>
          <w:sz w:val="24"/>
          <w:szCs w:val="24"/>
          <w:highlight w:val="none"/>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rPr>
          <w:rStyle w:val="Hyperlink"/>
          <w:sz w:val="24"/>
          <w:szCs w:val="24"/>
          <w:bCs/>
          <w:lang w:eastAsia="en-US"/>
        </w:rPr>
        <w:instrText xml:space="preserve"> HYPERLINK "http://www.planalto.gov.br/ccivil_03/_ato2019-2022/2021/lei/L14133.htm" \l "art143"</w:instrText>
      </w:r>
      <w:r>
        <w:rPr>
          <w:rStyle w:val="Hyperlink"/>
          <w:sz w:val="24"/>
          <w:szCs w:val="24"/>
          <w:bCs/>
          <w:lang w:eastAsia="en-US"/>
        </w:rPr>
        <w:fldChar w:fldCharType="separate"/>
      </w:r>
      <w:r>
        <w:rPr>
          <w:rStyle w:val="Hyperlink"/>
          <w:bCs/>
          <w:sz w:val="24"/>
          <w:szCs w:val="24"/>
          <w:lang w:eastAsia="en-US"/>
        </w:rPr>
        <w:t>art. 143 da Lei nº 14.133, de 2021</w:t>
      </w:r>
      <w:r>
        <w:rPr>
          <w:rStyle w:val="Hyperlink"/>
          <w:sz w:val="24"/>
          <w:szCs w:val="24"/>
          <w:bCs/>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Nivel2"/>
        <w:numPr>
          <w:ilvl w:val="1"/>
          <w:numId w:val="153"/>
        </w:numPr>
        <w:spacing w:lineRule="auto" w:line="312" w:before="120" w:after="288"/>
        <w:ind w:firstLine="709" w:left="0"/>
        <w:rPr>
          <w:sz w:val="24"/>
          <w:szCs w:val="24"/>
          <w:highlight w:val="none"/>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Nivel2"/>
        <w:numPr>
          <w:ilvl w:val="1"/>
          <w:numId w:val="154"/>
        </w:numPr>
        <w:spacing w:lineRule="auto" w:line="312" w:before="120" w:after="288"/>
        <w:ind w:firstLine="709" w:left="0"/>
        <w:rPr>
          <w:sz w:val="24"/>
          <w:szCs w:val="24"/>
          <w:highlight w:val="none"/>
          <w:lang w:eastAsia="en-US"/>
        </w:rPr>
      </w:pPr>
      <w:r>
        <w:rPr>
          <w:sz w:val="24"/>
          <w:szCs w:val="24"/>
          <w:lang w:eastAsia="en-US"/>
        </w:rPr>
        <w:t>O recebimento definitivo não excluirá a responsabilidade civil pela solidez e pela segurança do serviço nem a responsabilidade ético-profissional pela perfeita execução do contrato.</w:t>
      </w:r>
    </w:p>
    <w:p>
      <w:pPr>
        <w:pStyle w:val="Nvel1-SemNum"/>
        <w:spacing w:lineRule="auto" w:line="312" w:before="120" w:after="288"/>
        <w:ind w:hanging="0" w:left="357"/>
        <w:rPr>
          <w:color w:val="auto"/>
          <w:sz w:val="24"/>
          <w:szCs w:val="24"/>
          <w:highlight w:val="none"/>
          <w:lang w:eastAsia="en-US"/>
        </w:rPr>
      </w:pPr>
      <w:r>
        <w:rPr>
          <w:color w:val="auto"/>
          <w:sz w:val="24"/>
          <w:szCs w:val="24"/>
          <w:lang w:eastAsia="en-US"/>
        </w:rPr>
        <w:t>Liquidação</w:t>
      </w:r>
    </w:p>
    <w:p>
      <w:pPr>
        <w:pStyle w:val="Nivel2"/>
        <w:numPr>
          <w:ilvl w:val="1"/>
          <w:numId w:val="155"/>
        </w:numPr>
        <w:spacing w:lineRule="auto" w:line="312" w:before="120" w:after="288"/>
        <w:ind w:firstLine="709" w:left="0"/>
        <w:rPr>
          <w:sz w:val="24"/>
          <w:szCs w:val="24"/>
          <w:highlight w:val="none"/>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rPr>
          <w:rStyle w:val="Hyperlink"/>
          <w:sz w:val="24"/>
          <w:szCs w:val="24"/>
          <w:lang w:eastAsia="en-US"/>
        </w:rPr>
        <w:instrText xml:space="preserve"> HYPERLINK "http://www.planalto.gov.br/ccivil_03/_ato2019-2022/2021/lei/L14133.htm" \l "art68"</w:instrText>
      </w:r>
      <w:r>
        <w:rPr>
          <w:rStyle w:val="Hyperlink"/>
          <w:sz w:val="24"/>
          <w:szCs w:val="24"/>
          <w:lang w:eastAsia="en-US"/>
        </w:rPr>
        <w:fldChar w:fldCharType="separate"/>
      </w:r>
      <w:r>
        <w:rPr>
          <w:rStyle w:val="Hyperlink"/>
          <w:sz w:val="24"/>
          <w:szCs w:val="24"/>
          <w:lang w:eastAsia="en-US"/>
        </w:rPr>
        <w:t xml:space="preserve">art. 68 da Lei nº 14.133, de 2021.  </w:t>
      </w:r>
      <w:r>
        <w:rPr>
          <w:rStyle w:val="Hyperlink"/>
          <w:sz w:val="24"/>
          <w:szCs w:val="24"/>
          <w:lang w:eastAsia="en-US"/>
        </w:rPr>
        <w:fldChar w:fldCharType="end"/>
      </w:r>
      <w:r>
        <w:rPr>
          <w:sz w:val="24"/>
          <w:szCs w:val="24"/>
          <w:lang w:eastAsia="en-US"/>
        </w:rPr>
        <w:t xml:space="preserve"> </w:t>
      </w:r>
    </w:p>
    <w:p>
      <w:pPr>
        <w:pStyle w:val="Nivel2"/>
        <w:numPr>
          <w:ilvl w:val="1"/>
          <w:numId w:val="156"/>
        </w:numPr>
        <w:spacing w:lineRule="auto" w:line="312" w:before="120" w:after="288"/>
        <w:ind w:firstLine="709" w:left="0"/>
        <w:rPr>
          <w:sz w:val="24"/>
          <w:szCs w:val="24"/>
          <w:highlight w:val="none"/>
          <w:lang w:eastAsia="en-US"/>
        </w:rPr>
      </w:pPr>
      <w:r>
        <w:rPr>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Nivel2"/>
        <w:numPr>
          <w:ilvl w:val="1"/>
          <w:numId w:val="157"/>
        </w:numPr>
        <w:spacing w:lineRule="auto" w:line="312" w:before="120" w:after="288"/>
        <w:ind w:firstLine="709" w:left="0"/>
        <w:rPr>
          <w:sz w:val="24"/>
          <w:szCs w:val="24"/>
          <w:highlight w:val="none"/>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Nivel2"/>
        <w:numPr>
          <w:ilvl w:val="1"/>
          <w:numId w:val="158"/>
        </w:numPr>
        <w:spacing w:lineRule="auto" w:line="312" w:before="120" w:after="288"/>
        <w:ind w:firstLine="709" w:left="0"/>
        <w:rPr>
          <w:sz w:val="24"/>
          <w:szCs w:val="24"/>
          <w:highlight w:val="none"/>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Nivel2"/>
        <w:numPr>
          <w:ilvl w:val="1"/>
          <w:numId w:val="159"/>
        </w:numPr>
        <w:spacing w:lineRule="auto" w:line="312" w:before="120" w:after="288"/>
        <w:ind w:firstLine="709" w:left="0"/>
        <w:rPr>
          <w:sz w:val="24"/>
          <w:szCs w:val="24"/>
          <w:highlight w:val="none"/>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Nvel1-SemNum"/>
        <w:spacing w:lineRule="auto" w:line="312" w:before="120" w:after="288"/>
        <w:ind w:hanging="0" w:left="357"/>
        <w:rPr>
          <w:color w:val="auto"/>
          <w:sz w:val="24"/>
          <w:szCs w:val="24"/>
          <w:highlight w:val="none"/>
          <w:lang w:eastAsia="en-US"/>
        </w:rPr>
      </w:pPr>
      <w:r>
        <w:rPr>
          <w:color w:val="auto"/>
          <w:sz w:val="24"/>
          <w:szCs w:val="24"/>
          <w:lang w:eastAsia="en-US"/>
        </w:rPr>
        <w:t>Prazo de pagamento</w:t>
      </w:r>
    </w:p>
    <w:p>
      <w:pPr>
        <w:pStyle w:val="Nivel2"/>
        <w:numPr>
          <w:ilvl w:val="1"/>
          <w:numId w:val="160"/>
        </w:numPr>
        <w:spacing w:lineRule="auto" w:line="312" w:before="120" w:after="288"/>
        <w:ind w:firstLine="709" w:left="0"/>
        <w:rPr>
          <w:sz w:val="24"/>
          <w:szCs w:val="24"/>
          <w:highlight w:val="none"/>
        </w:rPr>
      </w:pPr>
      <w:r>
        <w:rPr>
          <w:sz w:val="24"/>
          <w:szCs w:val="24"/>
        </w:rPr>
        <w:t xml:space="preserve">O pagamento será efetuado no prazo de até </w:t>
      </w:r>
      <w:permStart w:id="9" w:edGrp="everyone"/>
      <w:r>
        <w:rPr>
          <w:sz w:val="24"/>
          <w:szCs w:val="24"/>
        </w:rPr>
        <w:t>trinta dias, contados da finalização da liquidação da despesa.</w:t>
      </w:r>
      <w:permEnd w:id="9"/>
    </w:p>
    <w:p>
      <w:pPr>
        <w:pStyle w:val="Nvel1-SemNum"/>
        <w:spacing w:lineRule="auto" w:line="312" w:before="120" w:after="288"/>
        <w:ind w:hanging="0" w:left="357"/>
        <w:rPr>
          <w:color w:val="auto"/>
          <w:sz w:val="24"/>
          <w:szCs w:val="24"/>
          <w:highlight w:val="none"/>
          <w:lang w:eastAsia="en-US"/>
        </w:rPr>
      </w:pPr>
      <w:r>
        <w:rPr>
          <w:color w:val="auto"/>
          <w:sz w:val="24"/>
          <w:szCs w:val="24"/>
          <w:lang w:eastAsia="en-US"/>
        </w:rPr>
        <w:t>Forma de pagamento</w:t>
      </w:r>
    </w:p>
    <w:p>
      <w:pPr>
        <w:pStyle w:val="Nivel2"/>
        <w:numPr>
          <w:ilvl w:val="1"/>
          <w:numId w:val="161"/>
        </w:numPr>
        <w:spacing w:lineRule="auto" w:line="312" w:before="120" w:after="288"/>
        <w:ind w:firstLine="709" w:left="0"/>
        <w:rPr>
          <w:sz w:val="24"/>
          <w:szCs w:val="24"/>
          <w:highlight w:val="none"/>
          <w:lang w:eastAsia="en-US"/>
        </w:rPr>
      </w:pPr>
      <w:r>
        <w:rPr>
          <w:sz w:val="24"/>
          <w:szCs w:val="24"/>
          <w:lang w:eastAsia="en-US"/>
        </w:rPr>
        <w:t>O pagamento será realizado por meio de ordem bancária, para crédito em banco, agência e conta corrente indicados pelo contratado.</w:t>
      </w:r>
    </w:p>
    <w:p>
      <w:pPr>
        <w:pStyle w:val="Nivel2"/>
        <w:numPr>
          <w:ilvl w:val="1"/>
          <w:numId w:val="162"/>
        </w:numPr>
        <w:spacing w:lineRule="auto" w:line="312" w:before="120" w:after="288"/>
        <w:ind w:firstLine="709" w:left="0"/>
        <w:rPr>
          <w:sz w:val="24"/>
          <w:szCs w:val="24"/>
          <w:highlight w:val="none"/>
          <w:lang w:eastAsia="en-US"/>
        </w:rPr>
      </w:pPr>
      <w:r>
        <w:rPr>
          <w:sz w:val="24"/>
          <w:szCs w:val="24"/>
          <w:lang w:eastAsia="en-US"/>
        </w:rPr>
        <w:t>Será considerada data do pagamento o dia em que constar como emitida a ordem bancária para pagamento.</w:t>
      </w:r>
    </w:p>
    <w:p>
      <w:pPr>
        <w:pStyle w:val="Nivel2"/>
        <w:numPr>
          <w:ilvl w:val="1"/>
          <w:numId w:val="163"/>
        </w:numPr>
        <w:spacing w:lineRule="auto" w:line="312" w:before="120" w:after="288"/>
        <w:ind w:firstLine="709" w:left="0"/>
        <w:rPr>
          <w:sz w:val="24"/>
          <w:szCs w:val="24"/>
          <w:highlight w:val="none"/>
          <w:lang w:eastAsia="en-US"/>
        </w:rPr>
      </w:pPr>
      <w:r>
        <w:rPr>
          <w:sz w:val="24"/>
          <w:szCs w:val="24"/>
          <w:lang w:eastAsia="en-US"/>
        </w:rPr>
        <w:t>Quando do pagamento, será efetuada a retenção tributária prevista na legislação aplicável.</w:t>
      </w:r>
    </w:p>
    <w:p>
      <w:pPr>
        <w:pStyle w:val="Nivel3"/>
        <w:numPr>
          <w:ilvl w:val="2"/>
          <w:numId w:val="164"/>
        </w:numPr>
        <w:spacing w:lineRule="auto" w:line="312" w:before="120" w:after="288"/>
        <w:ind w:firstLine="709" w:left="170"/>
        <w:rPr>
          <w:sz w:val="24"/>
          <w:szCs w:val="24"/>
          <w:highlight w:val="none"/>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Nivel2"/>
        <w:numPr>
          <w:ilvl w:val="1"/>
          <w:numId w:val="165"/>
        </w:numPr>
        <w:spacing w:lineRule="auto" w:line="312" w:before="120" w:after="288"/>
        <w:ind w:firstLine="709" w:left="0"/>
        <w:rPr>
          <w:sz w:val="24"/>
          <w:szCs w:val="24"/>
          <w:highlight w:val="none"/>
          <w:lang w:eastAsia="en-US"/>
        </w:rPr>
      </w:pPr>
      <w:r>
        <w:rPr>
          <w:sz w:val="24"/>
          <w:szCs w:val="24"/>
          <w:lang w:eastAsia="en-US"/>
        </w:rPr>
        <w:t xml:space="preserve">O contratado regularmente optante pelo Simples Nacional, nos termos da </w:t>
      </w:r>
      <w:hyperlink r:id="rId2">
        <w:r>
          <w:rPr>
            <w:rStyle w:val="Hyperlink"/>
            <w:sz w:val="24"/>
            <w:szCs w:val="24"/>
            <w:lang w:eastAsia="en-US"/>
          </w:rPr>
          <w:t>Lei Complementar nº 123, de 2006</w:t>
        </w:r>
      </w:hyperlink>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ivel01"/>
        <w:numPr>
          <w:ilvl w:val="0"/>
          <w:numId w:val="166"/>
        </w:numPr>
        <w:spacing w:lineRule="auto" w:line="312" w:before="120" w:after="288"/>
        <w:ind w:hanging="357" w:left="357"/>
        <w:rPr>
          <w:sz w:val="24"/>
          <w:szCs w:val="24"/>
          <w:highlight w:val="none"/>
        </w:rPr>
      </w:pPr>
      <w:r>
        <w:rPr>
          <w:sz w:val="24"/>
          <w:szCs w:val="24"/>
        </w:rPr>
        <w:t>FORMA E CRITÉRIOS DE SELEÇÃO DO FORNECEDOR</w:t>
      </w:r>
    </w:p>
    <w:p>
      <w:pPr>
        <w:pStyle w:val="Nvel1-SemNum"/>
        <w:spacing w:lineRule="auto" w:line="312" w:before="120" w:after="288"/>
        <w:ind w:hanging="0" w:left="357"/>
        <w:rPr>
          <w:color w:val="auto"/>
          <w:sz w:val="24"/>
          <w:szCs w:val="24"/>
          <w:highlight w:val="none"/>
        </w:rPr>
      </w:pPr>
      <w:r>
        <w:rPr>
          <w:color w:val="auto"/>
          <w:sz w:val="24"/>
          <w:szCs w:val="24"/>
          <w:lang w:eastAsia="en-US"/>
        </w:rPr>
        <w:t>Forma de seleção e critério de julgamento da proposta</w:t>
      </w:r>
    </w:p>
    <w:p>
      <w:pPr>
        <w:pStyle w:val="Nivel2"/>
        <w:numPr>
          <w:ilvl w:val="1"/>
          <w:numId w:val="167"/>
        </w:numPr>
        <w:spacing w:lineRule="auto" w:line="312" w:before="120" w:after="288"/>
        <w:ind w:firstLine="709" w:left="0"/>
        <w:rPr>
          <w:sz w:val="24"/>
          <w:szCs w:val="24"/>
          <w:highlight w:val="none"/>
        </w:rPr>
      </w:pPr>
      <w:r>
        <w:rPr>
          <w:rFonts w:eastAsia="Arial"/>
          <w:sz w:val="24"/>
          <w:szCs w:val="24"/>
        </w:rPr>
        <w:t>O fornecedor será selecionado por meio da realização de procedimento de LICITAÇÃO, na modalidade</w:t>
      </w:r>
      <w:r>
        <w:rPr>
          <w:rFonts w:eastAsia="Arial"/>
          <w:sz w:val="24"/>
          <w:szCs w:val="24"/>
          <w:lang w:val="pt-BR"/>
        </w:rPr>
        <w:t xml:space="preserve"> PREGÃO via</w:t>
      </w:r>
      <w:bookmarkStart w:id="0" w:name="_GoBack"/>
      <w:bookmarkEnd w:id="0"/>
      <w:r>
        <w:rPr>
          <w:rFonts w:eastAsia="Arial"/>
          <w:sz w:val="24"/>
          <w:szCs w:val="24"/>
        </w:rPr>
        <w:t xml:space="preserve"> </w:t>
      </w:r>
      <w:permStart w:id="10" w:edGrp="everyone"/>
      <w:r>
        <w:rPr>
          <w:rFonts w:eastAsia="Arial"/>
          <w:sz w:val="24"/>
          <w:szCs w:val="24"/>
          <w:lang w:val="pt-BR"/>
        </w:rPr>
        <w:t>REGISTRO DE PREÇOS</w:t>
      </w:r>
      <w:r>
        <w:rPr>
          <w:rFonts w:eastAsia="Arial"/>
          <w:sz w:val="24"/>
          <w:szCs w:val="24"/>
        </w:rPr>
        <w:t xml:space="preserve">, sob a forma ELETRÔNICA, com adoção do critério de julgamento </w:t>
      </w:r>
      <w:permStart w:id="11" w:edGrp="everyone"/>
      <w:r>
        <w:rPr>
          <w:rFonts w:eastAsia="Arial"/>
          <w:sz w:val="24"/>
          <w:szCs w:val="24"/>
        </w:rPr>
        <w:t xml:space="preserve">pelo </w:t>
      </w:r>
      <w:r>
        <w:rPr>
          <w:rFonts w:eastAsia="Arial"/>
          <w:sz w:val="24"/>
          <w:szCs w:val="24"/>
          <w:lang w:val="pt-BR"/>
        </w:rPr>
        <w:t>menor preço por item.</w:t>
      </w:r>
      <w:permEnd w:id="10"/>
      <w:permEnd w:id="11"/>
    </w:p>
    <w:p>
      <w:pPr>
        <w:pStyle w:val="Nvel1-SemNum"/>
        <w:spacing w:lineRule="auto" w:line="312" w:before="120" w:after="288"/>
        <w:ind w:hanging="0" w:left="357"/>
        <w:rPr>
          <w:color w:val="auto"/>
          <w:sz w:val="24"/>
          <w:szCs w:val="24"/>
          <w:highlight w:val="none"/>
        </w:rPr>
      </w:pPr>
      <w:r>
        <w:rPr>
          <w:color w:val="auto"/>
          <w:sz w:val="24"/>
          <w:szCs w:val="24"/>
          <w:lang w:eastAsia="en-US"/>
        </w:rPr>
        <w:t>Exigências de habilitação</w:t>
      </w:r>
    </w:p>
    <w:p>
      <w:pPr>
        <w:pStyle w:val="Nivel2"/>
        <w:numPr>
          <w:ilvl w:val="1"/>
          <w:numId w:val="168"/>
        </w:numPr>
        <w:spacing w:lineRule="auto" w:line="312" w:before="120" w:after="288"/>
        <w:ind w:firstLine="709" w:left="0"/>
        <w:rPr>
          <w:sz w:val="24"/>
          <w:szCs w:val="24"/>
          <w:highlight w:val="none"/>
        </w:rPr>
      </w:pPr>
      <w:r>
        <w:rPr>
          <w:sz w:val="24"/>
          <w:szCs w:val="24"/>
        </w:rPr>
        <w:t>Para fins de habilitação, deverá o licitante comprovar os seguintes requisitos:</w:t>
      </w:r>
    </w:p>
    <w:p>
      <w:pPr>
        <w:pStyle w:val="Nvel1-SemNum"/>
        <w:spacing w:lineRule="auto" w:line="312" w:before="120" w:after="288"/>
        <w:ind w:hanging="0" w:left="357"/>
        <w:rPr>
          <w:color w:val="auto"/>
          <w:sz w:val="24"/>
          <w:szCs w:val="24"/>
          <w:highlight w:val="none"/>
          <w:lang w:eastAsia="zh-CN" w:bidi="hi-IN"/>
        </w:rPr>
      </w:pPr>
      <w:r>
        <w:rPr>
          <w:color w:val="auto"/>
          <w:sz w:val="24"/>
          <w:szCs w:val="24"/>
          <w:lang w:eastAsia="zh-CN" w:bidi="hi-IN"/>
        </w:rPr>
        <w:t>Habilitação jurídica</w:t>
      </w:r>
    </w:p>
    <w:p>
      <w:pPr>
        <w:pStyle w:val="Nivel2"/>
        <w:numPr>
          <w:ilvl w:val="1"/>
          <w:numId w:val="169"/>
        </w:numPr>
        <w:spacing w:lineRule="auto" w:line="312" w:before="120" w:after="288"/>
        <w:ind w:firstLine="709" w:left="0"/>
        <w:rPr>
          <w:sz w:val="24"/>
          <w:szCs w:val="24"/>
          <w:highlight w:val="none"/>
        </w:rPr>
      </w:pPr>
      <w:r>
        <w:rPr>
          <w:b/>
          <w:bCs/>
          <w:sz w:val="24"/>
          <w:szCs w:val="24"/>
        </w:rPr>
        <w:t>Empresário individual:</w:t>
      </w:r>
      <w:r>
        <w:rPr>
          <w:sz w:val="24"/>
          <w:szCs w:val="24"/>
        </w:rPr>
        <w:t xml:space="preserve"> inscrição no Registro Público de Empresas Mercantis, a cargo da Junta Comercial da respectiva sede; </w:t>
      </w:r>
    </w:p>
    <w:p>
      <w:pPr>
        <w:pStyle w:val="Nivel2"/>
        <w:numPr>
          <w:ilvl w:val="1"/>
          <w:numId w:val="170"/>
        </w:numPr>
        <w:spacing w:lineRule="auto" w:line="312" w:before="120" w:after="288"/>
        <w:ind w:firstLine="709" w:left="0"/>
        <w:rPr>
          <w:sz w:val="24"/>
          <w:szCs w:val="24"/>
          <w:highlight w:val="none"/>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hyperlink r:id="rId3">
        <w:r>
          <w:rPr>
            <w:rStyle w:val="Hyperlink"/>
            <w:sz w:val="24"/>
            <w:szCs w:val="24"/>
          </w:rPr>
          <w:t>https://www.gov.br/empresas-e-negocios/pt-br/empreendedor</w:t>
        </w:r>
      </w:hyperlink>
      <w:r>
        <w:rPr>
          <w:sz w:val="24"/>
          <w:szCs w:val="24"/>
        </w:rPr>
        <w:t xml:space="preserve">; </w:t>
      </w:r>
    </w:p>
    <w:p>
      <w:pPr>
        <w:pStyle w:val="Nivel2"/>
        <w:numPr>
          <w:ilvl w:val="1"/>
          <w:numId w:val="171"/>
        </w:numPr>
        <w:spacing w:lineRule="auto" w:line="312" w:before="120" w:after="288"/>
        <w:ind w:firstLine="709" w:left="0"/>
        <w:rPr>
          <w:sz w:val="24"/>
          <w:szCs w:val="24"/>
          <w:highlight w:val="none"/>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Nivel2"/>
        <w:numPr>
          <w:ilvl w:val="1"/>
          <w:numId w:val="172"/>
        </w:numPr>
        <w:spacing w:lineRule="auto" w:line="312" w:before="120" w:after="288"/>
        <w:ind w:firstLine="709" w:left="0"/>
        <w:rPr>
          <w:sz w:val="24"/>
          <w:szCs w:val="24"/>
          <w:highlight w:val="none"/>
        </w:rPr>
      </w:pPr>
      <w:r>
        <w:rPr>
          <w:b/>
          <w:bCs/>
          <w:sz w:val="24"/>
          <w:szCs w:val="24"/>
        </w:rPr>
        <w:t>Sociedade empresária estrangeira:</w:t>
      </w:r>
      <w:r>
        <w:rPr>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pPr>
        <w:pStyle w:val="Nivel2"/>
        <w:numPr>
          <w:ilvl w:val="1"/>
          <w:numId w:val="173"/>
        </w:numPr>
        <w:spacing w:lineRule="auto" w:line="312" w:before="120" w:after="288"/>
        <w:ind w:firstLine="709" w:left="0"/>
        <w:rPr>
          <w:sz w:val="24"/>
          <w:szCs w:val="24"/>
          <w:highlight w:val="none"/>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Nivel2"/>
        <w:numPr>
          <w:ilvl w:val="1"/>
          <w:numId w:val="174"/>
        </w:numPr>
        <w:spacing w:lineRule="auto" w:line="312" w:before="120" w:after="288"/>
        <w:ind w:firstLine="709" w:left="0"/>
        <w:rPr>
          <w:sz w:val="24"/>
          <w:szCs w:val="24"/>
          <w:highlight w:val="none"/>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Nivel2"/>
        <w:numPr>
          <w:ilvl w:val="1"/>
          <w:numId w:val="175"/>
        </w:numPr>
        <w:spacing w:lineRule="auto" w:line="312" w:before="120" w:after="288"/>
        <w:ind w:firstLine="709" w:left="0"/>
        <w:rPr>
          <w:sz w:val="24"/>
          <w:szCs w:val="24"/>
          <w:highlight w:val="none"/>
        </w:rPr>
      </w:pPr>
      <w:r>
        <w:rPr>
          <w:sz w:val="24"/>
          <w:szCs w:val="24"/>
        </w:rPr>
        <w:t>Os documentos apresentados deverão estar acompanhados de todas as alterações ou da consolidação respectiva.</w:t>
      </w:r>
    </w:p>
    <w:p>
      <w:pPr>
        <w:pStyle w:val="Nvel1-SemNum"/>
        <w:spacing w:lineRule="auto" w:line="312" w:before="120" w:after="288"/>
        <w:ind w:hanging="0" w:left="357"/>
        <w:rPr>
          <w:color w:val="auto"/>
          <w:sz w:val="24"/>
          <w:szCs w:val="24"/>
          <w:highlight w:val="none"/>
          <w:lang w:eastAsia="zh-CN" w:bidi="hi-IN"/>
        </w:rPr>
      </w:pPr>
      <w:r>
        <w:rPr>
          <w:color w:val="auto"/>
          <w:sz w:val="24"/>
          <w:szCs w:val="24"/>
          <w:lang w:eastAsia="zh-CN" w:bidi="hi-IN"/>
        </w:rPr>
        <w:t>Habilitação fiscal, social e trabalhista</w:t>
      </w:r>
    </w:p>
    <w:p>
      <w:pPr>
        <w:pStyle w:val="Nivel2"/>
        <w:numPr>
          <w:ilvl w:val="1"/>
          <w:numId w:val="176"/>
        </w:numPr>
        <w:spacing w:lineRule="auto" w:line="312" w:before="120" w:after="288"/>
        <w:ind w:firstLine="709" w:left="0"/>
        <w:rPr>
          <w:sz w:val="24"/>
          <w:szCs w:val="24"/>
          <w:highlight w:val="none"/>
        </w:rPr>
      </w:pPr>
      <w:r>
        <w:rPr>
          <w:sz w:val="24"/>
          <w:szCs w:val="24"/>
        </w:rPr>
        <w:t>Prova de inscrição no Cadastro Nacional de Pessoas Jurídicas ou no Cadastro de Pessoas Físicas, conforme o caso;</w:t>
      </w:r>
    </w:p>
    <w:p>
      <w:pPr>
        <w:pStyle w:val="Nivel2"/>
        <w:numPr>
          <w:ilvl w:val="1"/>
          <w:numId w:val="177"/>
        </w:numPr>
        <w:spacing w:lineRule="auto" w:line="312" w:before="120" w:after="288"/>
        <w:ind w:firstLine="709" w:left="0"/>
        <w:rPr>
          <w:sz w:val="24"/>
          <w:szCs w:val="24"/>
          <w:highlight w:val="none"/>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Nivel2"/>
        <w:numPr>
          <w:ilvl w:val="1"/>
          <w:numId w:val="178"/>
        </w:numPr>
        <w:spacing w:lineRule="auto" w:line="312" w:before="120" w:after="288"/>
        <w:ind w:firstLine="709" w:left="0"/>
        <w:rPr>
          <w:sz w:val="24"/>
          <w:szCs w:val="24"/>
          <w:highlight w:val="none"/>
        </w:rPr>
      </w:pPr>
      <w:r>
        <w:rPr>
          <w:sz w:val="24"/>
          <w:szCs w:val="24"/>
        </w:rPr>
        <w:t>Prova de regularidade com o Fundo de Garantia do Tempo de Serviço (FGTS);</w:t>
      </w:r>
    </w:p>
    <w:p>
      <w:pPr>
        <w:pStyle w:val="Nivel2"/>
        <w:numPr>
          <w:ilvl w:val="1"/>
          <w:numId w:val="179"/>
        </w:numPr>
        <w:spacing w:lineRule="auto" w:line="312" w:before="120" w:after="288"/>
        <w:ind w:firstLine="709" w:left="0"/>
        <w:rPr>
          <w:sz w:val="24"/>
          <w:szCs w:val="24"/>
          <w:highlight w:val="none"/>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ivel2"/>
        <w:numPr>
          <w:ilvl w:val="1"/>
          <w:numId w:val="180"/>
        </w:numPr>
        <w:spacing w:lineRule="auto" w:line="312" w:before="120" w:after="288"/>
        <w:ind w:firstLine="709" w:left="0"/>
        <w:rPr>
          <w:sz w:val="24"/>
          <w:szCs w:val="24"/>
          <w:highlight w:val="none"/>
        </w:rPr>
      </w:pPr>
      <w:r>
        <w:rPr>
          <w:sz w:val="24"/>
          <w:szCs w:val="24"/>
        </w:rPr>
        <w:t xml:space="preserve">Prova de inscrição no cadastro de contribuintes relativo ao domicílio ou sede do fornecedor, pertinente ao seu ramo de atividade e compatível com o objeto contratual; </w:t>
      </w:r>
    </w:p>
    <w:p>
      <w:pPr>
        <w:pStyle w:val="Nivel2"/>
        <w:numPr>
          <w:ilvl w:val="1"/>
          <w:numId w:val="181"/>
        </w:numPr>
        <w:spacing w:lineRule="auto" w:line="312" w:before="120" w:after="288"/>
        <w:ind w:firstLine="709" w:left="0"/>
        <w:rPr>
          <w:sz w:val="24"/>
          <w:szCs w:val="24"/>
          <w:highlight w:val="none"/>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Nivel2"/>
        <w:numPr>
          <w:ilvl w:val="1"/>
          <w:numId w:val="182"/>
        </w:numPr>
        <w:spacing w:lineRule="auto" w:line="312" w:before="120" w:after="288"/>
        <w:ind w:firstLine="709" w:left="0"/>
        <w:rPr>
          <w:sz w:val="24"/>
          <w:szCs w:val="24"/>
          <w:highlight w:val="none"/>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Nivel2"/>
        <w:numPr>
          <w:ilvl w:val="1"/>
          <w:numId w:val="183"/>
        </w:numPr>
        <w:spacing w:lineRule="auto" w:line="312" w:before="120" w:after="288"/>
        <w:ind w:firstLine="709" w:left="0"/>
        <w:rPr>
          <w:sz w:val="24"/>
          <w:szCs w:val="24"/>
          <w:highlight w:val="none"/>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Nvel1-SemNum"/>
        <w:spacing w:lineRule="auto" w:line="312" w:before="120" w:after="288"/>
        <w:ind w:hanging="0" w:left="357"/>
        <w:rPr>
          <w:color w:val="auto"/>
          <w:sz w:val="24"/>
          <w:szCs w:val="24"/>
          <w:highlight w:val="none"/>
          <w:lang w:eastAsia="zh-CN" w:bidi="hi-IN"/>
        </w:rPr>
      </w:pPr>
      <w:r>
        <w:rPr>
          <w:color w:val="auto"/>
          <w:sz w:val="24"/>
          <w:szCs w:val="24"/>
          <w:lang w:eastAsia="zh-CN" w:bidi="hi-IN"/>
        </w:rPr>
        <w:t>Qualificação Econômico-Financeira</w:t>
      </w:r>
    </w:p>
    <w:p>
      <w:pPr>
        <w:pStyle w:val="Nivel2"/>
        <w:numPr>
          <w:ilvl w:val="1"/>
          <w:numId w:val="184"/>
        </w:numPr>
        <w:spacing w:lineRule="auto" w:line="312" w:before="120" w:after="288"/>
        <w:ind w:firstLine="709" w:left="0"/>
        <w:rPr>
          <w:sz w:val="24"/>
          <w:szCs w:val="24"/>
          <w:highlight w:val="none"/>
        </w:rPr>
      </w:pPr>
      <w:r>
        <w:rPr>
          <w:sz w:val="24"/>
          <w:szCs w:val="24"/>
        </w:rPr>
        <w:t xml:space="preserve">Certidão negativa de falência expedida pelo distribuidor da sede do fornecedor - </w:t>
      </w:r>
      <w:r>
        <w:fldChar w:fldCharType="begin"/>
      </w:r>
      <w:r>
        <w:rPr>
          <w:rStyle w:val="Hyperlink"/>
          <w:sz w:val="24"/>
          <w:szCs w:val="24"/>
        </w:rPr>
        <w:instrText xml:space="preserve"> HYPERLINK "http://www.planalto.gov.br/ccivil_03/_ato2019-2022/2021/lei/L14133.htm" \l "art69"</w:instrText>
      </w:r>
      <w:r>
        <w:rPr>
          <w:rStyle w:val="Hyperlink"/>
          <w:sz w:val="24"/>
          <w:szCs w:val="24"/>
        </w:rPr>
        <w:fldChar w:fldCharType="separate"/>
      </w:r>
      <w:r>
        <w:rPr>
          <w:rStyle w:val="Hyperlink"/>
          <w:sz w:val="24"/>
          <w:szCs w:val="24"/>
        </w:rPr>
        <w:t>Lei nº 14.133, de 2021, art. 69, caput, inciso II</w:t>
      </w:r>
      <w:r>
        <w:rPr>
          <w:rStyle w:val="Hyperlink"/>
          <w:sz w:val="24"/>
          <w:szCs w:val="24"/>
        </w:rPr>
        <w:fldChar w:fldCharType="end"/>
      </w:r>
      <w:r>
        <w:rPr>
          <w:sz w:val="24"/>
          <w:szCs w:val="24"/>
        </w:rPr>
        <w:t>);</w:t>
      </w:r>
    </w:p>
    <w:p>
      <w:pPr>
        <w:pStyle w:val="Nivel2"/>
        <w:numPr>
          <w:ilvl w:val="1"/>
          <w:numId w:val="185"/>
        </w:numPr>
        <w:spacing w:lineRule="auto" w:line="312" w:before="120" w:after="288"/>
        <w:ind w:firstLine="709" w:left="0"/>
        <w:rPr>
          <w:sz w:val="24"/>
          <w:szCs w:val="24"/>
          <w:highlight w:val="none"/>
        </w:rPr>
      </w:pPr>
      <w:r>
        <w:rPr>
          <w:sz w:val="24"/>
          <w:szCs w:val="24"/>
        </w:rPr>
        <w:t xml:space="preserve">Balanço patrimonial, demonstração de resultado de exercício e demais demonstrações contábeis relativos ao último exercício </w:t>
      </w:r>
      <w:permStart w:id="12" w:edGrp="everyone"/>
      <w:r>
        <w:rPr>
          <w:sz w:val="24"/>
          <w:szCs w:val="24"/>
        </w:rPr>
        <w:t>2022. (Lei nº 14.133, de 2021, art. 69, §6º).</w:t>
      </w:r>
      <w:permEnd w:id="12"/>
    </w:p>
    <w:p>
      <w:pPr>
        <w:pStyle w:val="Nivel2"/>
        <w:numPr>
          <w:ilvl w:val="1"/>
          <w:numId w:val="186"/>
        </w:numPr>
        <w:spacing w:lineRule="auto" w:line="312" w:before="120" w:after="288"/>
        <w:ind w:firstLine="709" w:left="0"/>
        <w:rPr>
          <w:sz w:val="24"/>
          <w:szCs w:val="24"/>
          <w:highlight w:val="none"/>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Nvel1-SemNum"/>
        <w:spacing w:lineRule="auto" w:line="312" w:before="120" w:after="288"/>
        <w:ind w:hanging="0" w:left="357"/>
        <w:rPr>
          <w:color w:val="auto"/>
          <w:sz w:val="24"/>
          <w:szCs w:val="24"/>
          <w:highlight w:val="none"/>
          <w:lang w:eastAsia="zh-CN" w:bidi="hi-IN"/>
        </w:rPr>
      </w:pPr>
      <w:r>
        <w:rPr>
          <w:color w:val="auto"/>
          <w:sz w:val="24"/>
          <w:szCs w:val="24"/>
          <w:lang w:eastAsia="zh-CN" w:bidi="hi-IN"/>
        </w:rPr>
        <w:t>Qualificação Técnica</w:t>
      </w:r>
    </w:p>
    <w:p>
      <w:pPr>
        <w:pStyle w:val="Nvel2-Red"/>
        <w:numPr>
          <w:ilvl w:val="1"/>
          <w:numId w:val="187"/>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Comprovação de aptidão para o fornecimento de </w:t>
      </w:r>
      <w:permStart w:id="13" w:edGrp="everyone"/>
      <w:r>
        <w:rPr>
          <w:i w:val="false"/>
          <w:iCs w:val="false"/>
          <w:color w:val="auto"/>
          <w:sz w:val="24"/>
          <w:szCs w:val="24"/>
        </w:rPr>
        <w:t>bens/serviços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ermEnd w:id="13"/>
    </w:p>
    <w:p>
      <w:pPr>
        <w:pStyle w:val="Nvel3-R"/>
        <w:numPr>
          <w:ilvl w:val="2"/>
          <w:numId w:val="188"/>
        </w:numPr>
        <w:spacing w:lineRule="auto" w:line="312" w:before="120" w:after="288"/>
        <w:ind w:firstLine="709" w:left="170"/>
        <w:rPr>
          <w:i w:val="false"/>
          <w:i w:val="false"/>
          <w:iCs w:val="false"/>
          <w:color w:val="auto"/>
          <w:sz w:val="24"/>
          <w:szCs w:val="24"/>
          <w:highlight w:val="none"/>
        </w:rPr>
      </w:pPr>
      <w:r>
        <w:rPr>
          <w:i w:val="false"/>
          <w:iCs w:val="false"/>
          <w:color w:val="auto"/>
          <w:sz w:val="24"/>
          <w:szCs w:val="24"/>
        </w:rPr>
        <w:t xml:space="preserve">Para fins da comprovação de que trata este subitem, os atestados deverão dizer respeito a contratos executados com as seguintes características mínimas: </w:t>
      </w:r>
    </w:p>
    <w:p>
      <w:pPr>
        <w:pStyle w:val="Nvel2-Red"/>
        <w:keepNext w:val="false"/>
        <w:keepLines w:val="false"/>
        <w:pageBreakBefore w:val="false"/>
        <w:widowControl/>
        <w:numPr>
          <w:ilvl w:val="0"/>
          <w:numId w:val="3"/>
        </w:numPr>
        <w:tabs>
          <w:tab w:val="clear" w:pos="708"/>
          <w:tab w:val="left" w:pos="993" w:leader="none"/>
        </w:tabs>
        <w:overflowPunct w:val="true"/>
        <w:bidi w:val="0"/>
        <w:snapToGrid w:val="true"/>
        <w:spacing w:lineRule="auto" w:line="360" w:before="181" w:after="181"/>
        <w:ind w:hanging="425" w:left="845"/>
        <w:textAlignment w:val="auto"/>
        <w:rPr>
          <w:rFonts w:ascii="Arial" w:hAnsi="Arial" w:cs="Arial"/>
          <w:i w:val="false"/>
          <w:i w:val="false"/>
          <w:iCs w:val="false"/>
          <w:color w:val="auto"/>
          <w:sz w:val="22"/>
          <w:szCs w:val="22"/>
          <w:highlight w:val="none"/>
        </w:rPr>
      </w:pPr>
      <w:r>
        <w:rPr>
          <w:rFonts w:cs="Arial"/>
          <w:i w:val="false"/>
          <w:iCs w:val="false"/>
          <w:color w:val="auto"/>
          <w:sz w:val="22"/>
          <w:szCs w:val="22"/>
        </w:rPr>
        <w:t>Nome empresarial e dados de identificação da instituição emitente (CNPJ,endereço, telefone, e- mail);</w:t>
      </w:r>
    </w:p>
    <w:p>
      <w:pPr>
        <w:pStyle w:val="Nvel2-Red"/>
        <w:keepNext w:val="false"/>
        <w:keepLines w:val="false"/>
        <w:pageBreakBefore w:val="false"/>
        <w:widowControl/>
        <w:numPr>
          <w:ilvl w:val="0"/>
          <w:numId w:val="3"/>
        </w:numPr>
        <w:tabs>
          <w:tab w:val="clear" w:pos="708"/>
          <w:tab w:val="left" w:pos="993" w:leader="none"/>
        </w:tabs>
        <w:overflowPunct w:val="true"/>
        <w:bidi w:val="0"/>
        <w:snapToGrid w:val="true"/>
        <w:spacing w:lineRule="auto" w:line="360" w:before="181" w:after="181"/>
        <w:ind w:hanging="425" w:left="845"/>
        <w:textAlignment w:val="auto"/>
        <w:rPr>
          <w:rFonts w:ascii="Arial" w:hAnsi="Arial" w:cs="Arial"/>
          <w:i w:val="false"/>
          <w:i w:val="false"/>
          <w:iCs w:val="false"/>
          <w:color w:val="auto"/>
          <w:sz w:val="22"/>
          <w:szCs w:val="22"/>
          <w:highlight w:val="none"/>
        </w:rPr>
      </w:pPr>
      <w:r>
        <w:rPr>
          <w:rFonts w:cs="Arial"/>
          <w:i w:val="false"/>
          <w:iCs w:val="false"/>
          <w:color w:val="auto"/>
          <w:sz w:val="22"/>
          <w:szCs w:val="22"/>
        </w:rPr>
        <w:t>Local e data de emissão;</w:t>
      </w:r>
    </w:p>
    <w:p>
      <w:pPr>
        <w:pStyle w:val="Nvel2-Red"/>
        <w:keepNext w:val="false"/>
        <w:keepLines w:val="false"/>
        <w:pageBreakBefore w:val="false"/>
        <w:widowControl/>
        <w:numPr>
          <w:ilvl w:val="0"/>
          <w:numId w:val="3"/>
        </w:numPr>
        <w:tabs>
          <w:tab w:val="clear" w:pos="708"/>
          <w:tab w:val="left" w:pos="993" w:leader="none"/>
        </w:tabs>
        <w:overflowPunct w:val="true"/>
        <w:bidi w:val="0"/>
        <w:snapToGrid w:val="true"/>
        <w:spacing w:lineRule="auto" w:line="360" w:before="181" w:after="181"/>
        <w:ind w:hanging="425" w:left="845"/>
        <w:textAlignment w:val="auto"/>
        <w:rPr>
          <w:rFonts w:ascii="Arial" w:hAnsi="Arial" w:cs="Arial"/>
          <w:i w:val="false"/>
          <w:i w:val="false"/>
          <w:iCs w:val="false"/>
          <w:color w:val="auto"/>
          <w:sz w:val="22"/>
          <w:szCs w:val="22"/>
          <w:highlight w:val="none"/>
        </w:rPr>
      </w:pPr>
      <w:r>
        <w:rPr>
          <w:rFonts w:cs="Arial"/>
          <w:i w:val="false"/>
          <w:iCs w:val="false"/>
          <w:color w:val="auto"/>
          <w:sz w:val="22"/>
          <w:szCs w:val="22"/>
        </w:rPr>
        <w:t>Nome, cargo, telefone, e- mail e a assinatura do responsável pela veracidade das informações;</w:t>
      </w:r>
    </w:p>
    <w:p>
      <w:pPr>
        <w:pStyle w:val="Nvel2-Red"/>
        <w:keepNext w:val="false"/>
        <w:keepLines w:val="false"/>
        <w:pageBreakBefore w:val="false"/>
        <w:widowControl/>
        <w:numPr>
          <w:ilvl w:val="0"/>
          <w:numId w:val="3"/>
        </w:numPr>
        <w:tabs>
          <w:tab w:val="clear" w:pos="708"/>
          <w:tab w:val="left" w:pos="993" w:leader="none"/>
        </w:tabs>
        <w:overflowPunct w:val="true"/>
        <w:bidi w:val="0"/>
        <w:snapToGrid w:val="true"/>
        <w:spacing w:lineRule="auto" w:line="360" w:before="181" w:after="181"/>
        <w:ind w:hanging="425" w:left="845"/>
        <w:textAlignment w:val="auto"/>
        <w:rPr>
          <w:i w:val="false"/>
          <w:i w:val="false"/>
          <w:iCs w:val="false"/>
          <w:color w:val="auto"/>
          <w:sz w:val="24"/>
          <w:szCs w:val="24"/>
          <w:highlight w:val="none"/>
        </w:rPr>
      </w:pPr>
      <w:permStart w:id="14" w:edGrp="everyone"/>
      <w:r>
        <w:rPr>
          <w:rFonts w:cs="Arial"/>
          <w:i w:val="false"/>
          <w:iCs w:val="false"/>
          <w:color w:val="auto"/>
          <w:sz w:val="22"/>
          <w:szCs w:val="22"/>
        </w:rPr>
        <w:t>Período de fornecimento/prestação de serviço</w:t>
      </w:r>
      <w:permEnd w:id="14"/>
    </w:p>
    <w:p>
      <w:pPr>
        <w:pStyle w:val="Nvel3-R"/>
        <w:numPr>
          <w:ilvl w:val="2"/>
          <w:numId w:val="189"/>
        </w:numPr>
        <w:spacing w:lineRule="auto" w:line="312" w:before="120" w:after="288"/>
        <w:ind w:firstLine="709" w:left="170"/>
        <w:rPr>
          <w:i w:val="false"/>
          <w:i w:val="false"/>
          <w:iCs w:val="false"/>
          <w:color w:val="auto"/>
          <w:sz w:val="24"/>
          <w:szCs w:val="24"/>
          <w:highlight w:val="none"/>
        </w:rPr>
      </w:pPr>
      <w:r>
        <w:rPr>
          <w:i w:val="false"/>
          <w:iCs w:val="false"/>
          <w:color w:val="auto"/>
          <w:sz w:val="24"/>
          <w:szCs w:val="24"/>
        </w:rPr>
        <w:t>Será admitida, para fins de comprovação de quantitativo mínimo, a apresentação e o somatório de diferentes atestados executados de forma concomitante.</w:t>
      </w:r>
    </w:p>
    <w:p>
      <w:pPr>
        <w:pStyle w:val="Nvel3-R"/>
        <w:numPr>
          <w:ilvl w:val="2"/>
          <w:numId w:val="190"/>
        </w:numPr>
        <w:spacing w:lineRule="auto" w:line="312" w:before="120" w:after="288"/>
        <w:ind w:firstLine="709" w:left="170"/>
        <w:rPr>
          <w:i w:val="false"/>
          <w:i w:val="false"/>
          <w:iCs w:val="false"/>
          <w:color w:val="auto"/>
          <w:sz w:val="24"/>
          <w:szCs w:val="24"/>
          <w:highlight w:val="none"/>
          <w:shd w:fill="FFFF00" w:val="clear"/>
        </w:rPr>
      </w:pPr>
      <w:r>
        <w:rPr>
          <w:i w:val="false"/>
          <w:iCs w:val="false"/>
          <w:color w:val="auto"/>
          <w:sz w:val="24"/>
          <w:szCs w:val="24"/>
        </w:rPr>
        <w:t>Os atestados de capacidade técnica poderão ser apresentados em nome da matriz ou da filial do fornecedor.</w:t>
      </w:r>
    </w:p>
    <w:p>
      <w:pPr>
        <w:pStyle w:val="Nvel3-R"/>
        <w:numPr>
          <w:ilvl w:val="2"/>
          <w:numId w:val="191"/>
        </w:numPr>
        <w:spacing w:lineRule="auto" w:line="312" w:before="120" w:after="288"/>
        <w:ind w:firstLine="709" w:left="170"/>
        <w:rPr>
          <w:sz w:val="24"/>
          <w:szCs w:val="24"/>
          <w:highlight w:val="none"/>
        </w:rPr>
      </w:pPr>
      <w:r>
        <w:rPr>
          <w:i w:val="false"/>
          <w:iCs w:val="false"/>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Nvel3-R"/>
        <w:numPr>
          <w:ilvl w:val="2"/>
          <w:numId w:val="192"/>
        </w:numPr>
        <w:spacing w:lineRule="auto" w:line="312" w:before="120" w:after="288"/>
        <w:ind w:firstLine="709" w:left="170"/>
        <w:rPr>
          <w:sz w:val="24"/>
          <w:szCs w:val="24"/>
          <w:highlight w:val="none"/>
        </w:rPr>
      </w:pPr>
      <w:permStart w:id="15" w:edGrp="everyone"/>
      <w:r>
        <w:rPr>
          <w:i w:val="false"/>
          <w:iCs w:val="false"/>
          <w:color w:val="auto"/>
          <w:sz w:val="24"/>
          <w:szCs w:val="24"/>
          <w:lang w:val="pt-BR"/>
        </w:rPr>
        <w:t>Licenciamento ambiental ou documento de dispensa deste, expedido pelo Município ou Estado.</w:t>
      </w:r>
      <w:permEnd w:id="15"/>
    </w:p>
    <w:p>
      <w:pPr>
        <w:pStyle w:val="Nivel01"/>
        <w:numPr>
          <w:ilvl w:val="0"/>
          <w:numId w:val="193"/>
        </w:numPr>
        <w:spacing w:lineRule="auto" w:line="312" w:before="120" w:after="288"/>
        <w:rPr>
          <w:sz w:val="24"/>
          <w:szCs w:val="24"/>
          <w:highlight w:val="none"/>
        </w:rPr>
      </w:pPr>
      <w:r>
        <w:rPr>
          <w:sz w:val="24"/>
          <w:szCs w:val="24"/>
        </w:rPr>
        <w:t>ESTIMATIVAS DO VALOR DA CONTRATAÇÃO</w:t>
      </w:r>
    </w:p>
    <w:p>
      <w:pPr>
        <w:pStyle w:val="Nvel2-Red"/>
        <w:numPr>
          <w:ilvl w:val="1"/>
          <w:numId w:val="194"/>
        </w:numPr>
        <w:spacing w:lineRule="auto" w:line="312" w:before="120" w:after="288"/>
        <w:ind w:firstLine="709" w:left="0"/>
        <w:rPr>
          <w:b/>
          <w:bCs/>
          <w:i w:val="false"/>
          <w:i w:val="false"/>
          <w:iCs w:val="false"/>
          <w:color w:val="auto"/>
          <w:sz w:val="24"/>
          <w:szCs w:val="24"/>
          <w:highlight w:val="none"/>
        </w:rPr>
      </w:pPr>
      <w:r>
        <w:rPr>
          <w:i w:val="false"/>
          <w:iCs w:val="false"/>
          <w:color w:val="auto"/>
          <w:sz w:val="24"/>
          <w:szCs w:val="24"/>
        </w:rPr>
        <w:t>O custo estimado total da contratação é</w:t>
      </w:r>
      <w:r>
        <w:rPr>
          <w:i w:val="false"/>
          <w:iCs w:val="false"/>
          <w:color w:val="auto"/>
          <w:sz w:val="24"/>
          <w:szCs w:val="24"/>
          <w:lang w:val="pt-BR"/>
        </w:rPr>
        <w:t xml:space="preserve"> c</w:t>
      </w:r>
      <w:permStart w:id="16" w:edGrp="everyone"/>
      <w:r>
        <w:rPr>
          <w:i w:val="false"/>
          <w:iCs w:val="false"/>
          <w:color w:val="auto"/>
          <w:sz w:val="24"/>
          <w:szCs w:val="24"/>
        </w:rPr>
        <w:t>onforme custos unitários apostos na tabela em anexo</w:t>
      </w:r>
      <w:permEnd w:id="16"/>
    </w:p>
    <w:p>
      <w:pPr>
        <w:pStyle w:val="Nivel01"/>
        <w:numPr>
          <w:ilvl w:val="0"/>
          <w:numId w:val="195"/>
        </w:numPr>
        <w:spacing w:lineRule="auto" w:line="312" w:before="120" w:after="288"/>
        <w:rPr>
          <w:sz w:val="24"/>
          <w:szCs w:val="24"/>
          <w:highlight w:val="none"/>
        </w:rPr>
      </w:pPr>
      <w:r>
        <w:rPr>
          <w:sz w:val="24"/>
          <w:szCs w:val="24"/>
        </w:rPr>
        <w:t>ADEQUAÇÃO ORÇAMENTÁRIA</w:t>
      </w:r>
    </w:p>
    <w:p>
      <w:pPr>
        <w:pStyle w:val="Nivel2"/>
        <w:numPr>
          <w:ilvl w:val="1"/>
          <w:numId w:val="196"/>
        </w:numPr>
        <w:spacing w:lineRule="auto" w:line="312" w:before="120" w:after="288"/>
        <w:ind w:firstLine="709" w:left="0"/>
        <w:rPr>
          <w:sz w:val="24"/>
          <w:szCs w:val="24"/>
          <w:highlight w:val="none"/>
        </w:rPr>
      </w:pPr>
      <w:bookmarkStart w:id="2" w:name="_Hlk82471863"/>
      <w:r>
        <w:rPr>
          <w:rFonts w:eastAsia="Arial"/>
          <w:sz w:val="24"/>
          <w:szCs w:val="24"/>
        </w:rPr>
        <w:t>As despesas decorrentes da presente contratação correrão à conta de recursos específicos consignados no Orçamento Geral do Município.</w:t>
      </w:r>
      <w:bookmarkEnd w:id="2"/>
    </w:p>
    <w:p>
      <w:pPr>
        <w:pStyle w:val="Nivel2"/>
        <w:numPr>
          <w:ilvl w:val="0"/>
          <w:numId w:val="0"/>
        </w:numPr>
        <w:spacing w:lineRule="auto" w:line="312" w:before="120" w:after="288"/>
        <w:ind w:hanging="0" w:left="0"/>
        <w:rPr>
          <w:i/>
          <w:i/>
          <w:iCs/>
          <w:color w:val="FF0000"/>
          <w:sz w:val="24"/>
          <w:szCs w:val="24"/>
          <w:highlight w:val="none"/>
        </w:rPr>
      </w:pPr>
      <w:r>
        <w:rPr>
          <w:i/>
          <w:iCs/>
          <w:color w:val="FF0000"/>
          <w:sz w:val="24"/>
          <w:szCs w:val="24"/>
        </w:rPr>
      </w:r>
    </w:p>
    <w:p>
      <w:pPr>
        <w:pStyle w:val="Nivel2"/>
        <w:numPr>
          <w:ilvl w:val="0"/>
          <w:numId w:val="0"/>
        </w:numPr>
        <w:spacing w:lineRule="auto" w:line="312" w:before="120" w:after="288"/>
        <w:ind w:hanging="0" w:left="0"/>
        <w:rPr>
          <w:color w:val="auto"/>
          <w:sz w:val="24"/>
          <w:szCs w:val="24"/>
          <w:highlight w:val="none"/>
          <w:lang w:val="pt-BR"/>
        </w:rPr>
      </w:pPr>
      <w:r>
        <w:rPr>
          <w:color w:val="auto"/>
          <w:sz w:val="24"/>
          <w:szCs w:val="24"/>
          <w:lang w:val="pt-BR"/>
        </w:rPr>
        <w:t>Arcos/MG , 23 de Fevereiro de 2024</w:t>
      </w:r>
    </w:p>
    <w:p>
      <w:pPr>
        <w:pStyle w:val="Nivel2"/>
        <w:keepNext w:val="false"/>
        <w:keepLines w:val="false"/>
        <w:widowControl/>
        <w:numPr>
          <w:ilvl w:val="0"/>
          <w:numId w:val="0"/>
        </w:numPr>
        <w:overflowPunct w:val="true"/>
        <w:bidi w:val="0"/>
        <w:snapToGrid w:val="true"/>
        <w:spacing w:lineRule="auto" w:line="312" w:before="120" w:after="0"/>
        <w:ind w:hanging="0" w:left="0"/>
        <w:jc w:val="center"/>
        <w:textAlignment w:val="auto"/>
        <w:rPr>
          <w:color w:val="auto"/>
          <w:sz w:val="24"/>
          <w:szCs w:val="24"/>
          <w:highlight w:val="none"/>
          <w:lang w:val="pt-BR"/>
        </w:rPr>
      </w:pPr>
      <w:r>
        <w:rPr>
          <w:color w:val="auto"/>
          <w:sz w:val="24"/>
          <w:szCs w:val="24"/>
          <w:lang w:val="pt-BR"/>
        </w:rPr>
        <w:t>____________________________________</w:t>
      </w:r>
    </w:p>
    <w:p>
      <w:pPr>
        <w:pStyle w:val="Nivel2"/>
        <w:keepNext w:val="false"/>
        <w:keepLines w:val="false"/>
        <w:pageBreakBefore w:val="false"/>
        <w:widowControl/>
        <w:numPr>
          <w:ilvl w:val="0"/>
          <w:numId w:val="0"/>
        </w:numPr>
        <w:overflowPunct w:val="true"/>
        <w:bidi w:val="0"/>
        <w:snapToGrid w:val="true"/>
        <w:spacing w:lineRule="auto" w:line="312" w:before="0" w:after="0"/>
        <w:ind w:hanging="0" w:left="0"/>
        <w:jc w:val="center"/>
        <w:textAlignment w:val="auto"/>
        <w:rPr>
          <w:b/>
          <w:bCs/>
          <w:color w:val="auto"/>
          <w:sz w:val="24"/>
          <w:szCs w:val="24"/>
          <w:highlight w:val="none"/>
          <w:lang w:val="pt-BR"/>
        </w:rPr>
      </w:pPr>
      <w:r>
        <w:rPr>
          <w:b/>
          <w:bCs/>
          <w:color w:val="auto"/>
          <w:sz w:val="24"/>
          <w:szCs w:val="24"/>
          <w:lang w:val="pt-BR"/>
        </w:rPr>
        <w:t>Daniel Ribeiro Mendonça</w:t>
      </w:r>
    </w:p>
    <w:p>
      <w:pPr>
        <w:pStyle w:val="Nivel2"/>
        <w:keepNext w:val="false"/>
        <w:keepLines w:val="false"/>
        <w:pageBreakBefore w:val="false"/>
        <w:widowControl/>
        <w:numPr>
          <w:ilvl w:val="0"/>
          <w:numId w:val="0"/>
        </w:numPr>
        <w:overflowPunct w:val="true"/>
        <w:bidi w:val="0"/>
        <w:snapToGrid w:val="true"/>
        <w:spacing w:lineRule="auto" w:line="312" w:before="0" w:after="0"/>
        <w:ind w:hanging="0" w:left="0"/>
        <w:jc w:val="center"/>
        <w:textAlignment w:val="auto"/>
        <w:rPr>
          <w:color w:val="auto"/>
          <w:sz w:val="24"/>
          <w:szCs w:val="24"/>
          <w:highlight w:val="none"/>
          <w:lang w:val="pt-BR"/>
        </w:rPr>
      </w:pPr>
      <w:r>
        <w:rPr>
          <w:color w:val="auto"/>
          <w:sz w:val="24"/>
          <w:szCs w:val="24"/>
          <w:lang w:val="pt-BR"/>
        </w:rPr>
        <w:t>Secretaria Municipal de Obras e Serviços Públicos</w:t>
      </w:r>
    </w:p>
    <w:p>
      <w:pPr>
        <w:pStyle w:val="Nivel2"/>
        <w:keepNext w:val="false"/>
        <w:keepLines w:val="false"/>
        <w:pageBreakBefore w:val="false"/>
        <w:widowControl/>
        <w:numPr>
          <w:ilvl w:val="0"/>
          <w:numId w:val="0"/>
        </w:numPr>
        <w:overflowPunct w:val="true"/>
        <w:bidi w:val="0"/>
        <w:snapToGrid w:val="true"/>
        <w:spacing w:lineRule="auto" w:line="312" w:before="0" w:after="0"/>
        <w:ind w:hanging="0" w:left="0"/>
        <w:jc w:val="center"/>
        <w:textAlignment w:val="auto"/>
        <w:rPr>
          <w:color w:val="auto"/>
          <w:sz w:val="24"/>
          <w:szCs w:val="24"/>
          <w:highlight w:val="none"/>
          <w:lang w:val="pt-BR"/>
        </w:rPr>
      </w:pPr>
      <w:r>
        <w:rPr>
          <w:color w:val="auto"/>
          <w:sz w:val="24"/>
          <w:szCs w:val="24"/>
          <w:lang w:val="pt-BR"/>
        </w:rPr>
      </w:r>
    </w:p>
    <w:p>
      <w:pPr>
        <w:pStyle w:val="Nivel2"/>
        <w:keepNext w:val="false"/>
        <w:keepLines w:val="false"/>
        <w:pageBreakBefore w:val="false"/>
        <w:widowControl/>
        <w:numPr>
          <w:ilvl w:val="0"/>
          <w:numId w:val="0"/>
        </w:numPr>
        <w:overflowPunct w:val="true"/>
        <w:bidi w:val="0"/>
        <w:snapToGrid w:val="true"/>
        <w:spacing w:lineRule="auto" w:line="312" w:before="0" w:after="0"/>
        <w:ind w:hanging="0" w:left="0"/>
        <w:jc w:val="center"/>
        <w:textAlignment w:val="auto"/>
        <w:rPr>
          <w:color w:val="auto"/>
          <w:sz w:val="24"/>
          <w:szCs w:val="24"/>
          <w:highlight w:val="none"/>
          <w:lang w:val="pt-BR"/>
        </w:rPr>
      </w:pPr>
      <w:r>
        <w:rPr>
          <w:color w:val="auto"/>
          <w:sz w:val="24"/>
          <w:szCs w:val="24"/>
          <w:lang w:val="pt-BR"/>
        </w:rPr>
        <w:t>____________________________________</w:t>
      </w:r>
    </w:p>
    <w:p>
      <w:pPr>
        <w:pStyle w:val="Nivel2"/>
        <w:keepNext w:val="false"/>
        <w:keepLines w:val="false"/>
        <w:pageBreakBefore w:val="false"/>
        <w:widowControl/>
        <w:numPr>
          <w:ilvl w:val="0"/>
          <w:numId w:val="0"/>
        </w:numPr>
        <w:overflowPunct w:val="true"/>
        <w:bidi w:val="0"/>
        <w:snapToGrid w:val="true"/>
        <w:spacing w:lineRule="auto" w:line="312" w:before="0" w:after="0"/>
        <w:ind w:hanging="0" w:left="0"/>
        <w:jc w:val="center"/>
        <w:textAlignment w:val="auto"/>
        <w:rPr>
          <w:b/>
          <w:bCs/>
          <w:color w:val="auto"/>
          <w:sz w:val="24"/>
          <w:szCs w:val="24"/>
          <w:highlight w:val="none"/>
          <w:lang w:val="pt-BR"/>
        </w:rPr>
      </w:pPr>
      <w:r>
        <w:rPr>
          <w:b/>
          <w:bCs/>
          <w:color w:val="auto"/>
          <w:sz w:val="24"/>
          <w:szCs w:val="24"/>
          <w:lang w:val="pt-BR"/>
        </w:rPr>
        <w:t>Elson Ribeiro da Silva</w:t>
      </w:r>
    </w:p>
    <w:p>
      <w:pPr>
        <w:pStyle w:val="Nivel2"/>
        <w:keepNext w:val="false"/>
        <w:keepLines w:val="false"/>
        <w:pageBreakBefore w:val="false"/>
        <w:widowControl/>
        <w:numPr>
          <w:ilvl w:val="0"/>
          <w:numId w:val="0"/>
        </w:numPr>
        <w:overflowPunct w:val="true"/>
        <w:bidi w:val="0"/>
        <w:snapToGrid w:val="true"/>
        <w:spacing w:lineRule="auto" w:line="312" w:before="0" w:after="0"/>
        <w:ind w:hanging="0" w:left="0"/>
        <w:jc w:val="center"/>
        <w:textAlignment w:val="auto"/>
        <w:rPr>
          <w:color w:val="auto"/>
          <w:sz w:val="24"/>
          <w:szCs w:val="24"/>
          <w:highlight w:val="none"/>
          <w:lang w:val="pt-BR"/>
        </w:rPr>
      </w:pPr>
      <w:permStart w:id="17" w:edGrp="everyone"/>
      <w:r>
        <w:rPr>
          <w:color w:val="auto"/>
          <w:sz w:val="24"/>
          <w:szCs w:val="24"/>
          <w:lang w:val="pt-BR"/>
        </w:rPr>
        <w:t>Secretario de Meio Ambiente e Agricultura</w:t>
      </w:r>
      <w:permEnd w:id="17"/>
    </w:p>
    <w:p>
      <w:pPr>
        <w:pStyle w:val="Normal"/>
        <w:spacing w:lineRule="auto" w:line="312" w:before="120" w:after="288"/>
        <w:ind w:left="360"/>
        <w:jc w:val="center"/>
        <w:rPr>
          <w:rFonts w:ascii="Arial" w:hAnsi="Arial" w:cs="Arial"/>
        </w:rPr>
      </w:pPr>
      <w:r>
        <w:rPr>
          <w:rFonts w:cs="Arial" w:ascii="Arial" w:hAnsi="Arial"/>
        </w:rPr>
      </w:r>
    </w:p>
    <w:sectPr>
      <w:headerReference w:type="default" r:id="rId4"/>
      <w:type w:val="nextPage"/>
      <w:pgSz w:w="11906" w:h="16838"/>
      <w:pgMar w:left="1134" w:right="1134" w:gutter="0" w:header="709"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Arial" w:hAnsi="Arial" w:cs="Arial"/>
        <w:b/>
        <w:bCs/>
        <w:sz w:val="26"/>
        <w:szCs w:val="26"/>
      </w:rPr>
    </w:pPr>
    <w:r>
      <w:drawing>
        <wp:anchor behindDoc="1" distT="0" distB="0" distL="114300" distR="114300" simplePos="0" locked="0" layoutInCell="0" allowOverlap="1" relativeHeight="15">
          <wp:simplePos x="0" y="0"/>
          <wp:positionH relativeFrom="column">
            <wp:posOffset>110490</wp:posOffset>
          </wp:positionH>
          <wp:positionV relativeFrom="paragraph">
            <wp:posOffset>-35560</wp:posOffset>
          </wp:positionV>
          <wp:extent cx="683260" cy="831215"/>
          <wp:effectExtent l="0" t="0" r="0" b="0"/>
          <wp:wrapSquare wrapText="bothSides"/>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rcRect l="9864" t="6441" r="8188" b="3505"/>
                  <a:stretch>
                    <a:fillRect/>
                  </a:stretch>
                </pic:blipFill>
                <pic:spPr bwMode="auto">
                  <a:xfrm>
                    <a:off x="0" y="0"/>
                    <a:ext cx="683260" cy="831215"/>
                  </a:xfrm>
                  <a:prstGeom prst="rect">
                    <a:avLst/>
                  </a:prstGeom>
                </pic:spPr>
              </pic:pic>
            </a:graphicData>
          </a:graphic>
        </wp:anchor>
      </w:drawing>
    </w:r>
    <w:r>
      <w:rPr>
        <w:rFonts w:cs="Arial" w:ascii="Arial" w:hAnsi="Arial"/>
        <w:b/>
        <w:bCs/>
        <w:sz w:val="26"/>
        <w:szCs w:val="26"/>
      </w:rPr>
      <w:t>Prefeitura Municipal de Arcos</w:t>
    </w:r>
  </w:p>
  <w:p>
    <w:pPr>
      <w:pStyle w:val="Footer"/>
      <w:tabs>
        <w:tab w:val="left" w:pos="204" w:leader="none"/>
        <w:tab w:val="left" w:pos="405" w:leader="none"/>
        <w:tab w:val="center" w:pos="4252" w:leader="none"/>
        <w:tab w:val="center" w:pos="4677" w:leader="none"/>
        <w:tab w:val="right" w:pos="8504" w:leader="none"/>
      </w:tabs>
      <w:jc w:val="center"/>
      <w:rPr>
        <w:rFonts w:ascii="Arial" w:hAnsi="Arial" w:cs="Arial"/>
      </w:rPr>
    </w:pPr>
    <w:r>
      <w:rPr>
        <w:rFonts w:cs="Arial" w:ascii="Arial" w:hAnsi="Arial"/>
      </w:rPr>
      <w:t>Estado de Minas Gerais</w:t>
    </w:r>
  </w:p>
  <w:p>
    <w:pPr>
      <w:pStyle w:val="Footer"/>
      <w:jc w:val="center"/>
      <w:rPr>
        <w:rFonts w:ascii="Arial" w:hAnsi="Arial" w:cs="Arial"/>
        <w:sz w:val="18"/>
        <w:szCs w:val="18"/>
      </w:rPr>
    </w:pPr>
    <w:r>
      <w:rPr>
        <w:rFonts w:cs="Arial" w:ascii="Arial" w:hAnsi="Arial"/>
        <w:sz w:val="18"/>
        <w:szCs w:val="18"/>
      </w:rPr>
      <w:t>Rua Getúlio Vargas, nº 228 – Bairro Centro – Arcos – MG – CEP 35588-000</w:t>
    </w:r>
  </w:p>
  <w:p>
    <w:pPr>
      <w:pStyle w:val="Footer"/>
      <w:jc w:val="center"/>
      <w:rPr>
        <w:rFonts w:ascii="Arial" w:hAnsi="Arial" w:cs="Arial"/>
        <w:sz w:val="21"/>
        <w:szCs w:val="21"/>
      </w:rPr>
    </w:pPr>
    <w:r>
      <w:rPr>
        <w:rFonts w:cs="Arial" w:ascii="Arial" w:hAnsi="Arial"/>
        <w:sz w:val="18"/>
        <w:szCs w:val="18"/>
      </w:rPr>
      <w:t xml:space="preserve">CNPJ: 18.306.662/0001-50 - Telefone: (37) 3359-7900 Email: </w:t>
    </w:r>
    <w:r>
      <w:rPr>
        <w:rFonts w:ascii="Arial" w:hAnsi="Arial"/>
        <w:sz w:val="18"/>
        <w:szCs w:val="18"/>
      </w:rPr>
      <w:t>arcoslicita@arcos.mg.gov.br</w:t>
    </w:r>
  </w:p>
  <w:p>
    <w:pPr>
      <w:pStyle w:val="Footer"/>
      <w:jc w:val="center"/>
      <w:rPr/>
    </w:pPr>
    <w:r>
      <w:rPr/>
      <w:t>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lowerRoman"/>
      <w:lvlText w:val="%1."/>
      <w:lvlJc w:val="left"/>
      <w:pPr>
        <w:tabs>
          <w:tab w:val="num" w:pos="845"/>
        </w:tabs>
        <w:ind w:left="845" w:hanging="425"/>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4"/>
    <w:lvlOverride w:ilvl="0">
      <w:startOverride w:val="1"/>
    </w:lvlOverride>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4"/>
  </w:num>
  <w:num w:numId="171">
    <w:abstractNumId w:val="4"/>
  </w:num>
  <w:num w:numId="172">
    <w:abstractNumId w:val="4"/>
  </w:num>
  <w:num w:numId="173">
    <w:abstractNumId w:val="4"/>
  </w:num>
  <w:num w:numId="174">
    <w:abstractNumId w:val="4"/>
  </w:num>
  <w:num w:numId="175">
    <w:abstractNumId w:val="4"/>
  </w:num>
  <w:num w:numId="176">
    <w:abstractNumId w:val="4"/>
  </w:num>
  <w:num w:numId="177">
    <w:abstractNumId w:val="4"/>
  </w:num>
  <w:num w:numId="178">
    <w:abstractNumId w:val="4"/>
  </w:num>
  <w:num w:numId="179">
    <w:abstractNumId w:val="4"/>
  </w:num>
  <w:num w:numId="180">
    <w:abstractNumId w:val="4"/>
  </w:num>
  <w:num w:numId="181">
    <w:abstractNumId w:val="4"/>
  </w:num>
  <w:num w:numId="182">
    <w:abstractNumId w:val="4"/>
  </w:num>
  <w:num w:numId="183">
    <w:abstractNumId w:val="4"/>
  </w:num>
  <w:num w:numId="184">
    <w:abstractNumId w:val="4"/>
  </w:num>
  <w:num w:numId="185">
    <w:abstractNumId w:val="4"/>
  </w:num>
  <w:num w:numId="186">
    <w:abstractNumId w:val="4"/>
  </w:num>
  <w:num w:numId="187">
    <w:abstractNumId w:val="4"/>
  </w:num>
  <w:num w:numId="188">
    <w:abstractNumId w:val="4"/>
  </w:num>
  <w:num w:numId="189">
    <w:abstractNumId w:val="4"/>
  </w:num>
  <w:num w:numId="190">
    <w:abstractNumId w:val="4"/>
  </w:num>
  <w:num w:numId="191">
    <w:abstractNumId w:val="4"/>
  </w:num>
  <w:num w:numId="192">
    <w:abstractNumId w:val="4"/>
  </w:num>
  <w:num w:numId="193">
    <w:abstractNumId w:val="4"/>
  </w:num>
  <w:num w:numId="194">
    <w:abstractNumId w:val="4"/>
  </w:num>
  <w:num w:numId="195">
    <w:abstractNumId w:val="4"/>
  </w:num>
  <w:num w:numId="196">
    <w:abstractNumId w:val="4"/>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readOnly" w:cryptProviderType="rsaAES" w:cryptAlgorithmClass="hash" w:cryptAlgorithmType="typeAny" w:cryptAlgorithmSid="" w:cryptSpinCount="0" w:hash="" w:salt=""/>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0" w:semiHidden="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99" w:semiHidden="0" w:qFormat="1"/>
    <w:lsdException w:name="header" w:uiPriority="99" w:semiHidden="0" w:unhideWhenUsed="0" w:qFormat="1"/>
    <w:lsdException w:name="footer" w:uiPriority="99" w:semiHidden="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semiHidden="0"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semiHidden="0" w:unhideWhenUsed="0" w:qFormat="1"/>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99" w:semiHidden="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semiHidden="0" w:unhideWhenUsed="0" w:qFormat="1"/>
    <w:lsdException w:name="FollowedHyperlink" w:uiPriority="99" w:qFormat="1"/>
    <w:lsdException w:name="Strong" w:uiPriority="22" w:semiHidden="0" w:unhideWhenUsed="0" w:qFormat="1"/>
    <w:lsdException w:name="Emphasis" w:uiPriority="20" w:semiHidden="0" w:unhideWhenUsed="0" w:qFormat="1"/>
    <w:lsdException w:name="Document Map" w:uiPriority="0"/>
    <w:lsdException w:name="Plain Text" w:uiPriority="0"/>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99" w:qFormat="1"/>
    <w:lsdException w:name="annotation subject" w:uiPriority="99"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semiHidden="0" w:unhideWhenUsed="0" w:qFormat="1"/>
    <w:lsdException w:name="Table Grid" w:uiPriority="39" w:semiHidden="0" w:unhideWhenUsed="0" w:qFormat="1"/>
    <w:lsdException w:name="Table Theme" w:uiPriority="0"/>
    <w:lsdException w:name="Placeholder Text" w:uiPriority="67" w:unhideWhenUsed="0" w:qFormat="1"/>
    <w:lsdException w:name="List Paragraph" w:uiPriority="34" w:semiHidden="0" w:unhideWhenUsed="0" w:qFormat="1"/>
    <w:lsdException w:name="Quote"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Ecofont_Spranq_eco_Sans" w:hAnsi="Ecofont_Spranq_eco_Sans" w:eastAsia="" w:cs="Tahoma" w:eastAsiaTheme="minorEastAsia"/>
      <w:color w:val="auto"/>
      <w:kern w:val="0"/>
      <w:sz w:val="24"/>
      <w:szCs w:val="24"/>
      <w:lang w:val="pt-BR" w:eastAsia="pt-BR" w:bidi="ar-SA"/>
    </w:rPr>
  </w:style>
  <w:style w:type="paragraph" w:styleId="Heading1">
    <w:name w:val="Heading 1"/>
    <w:basedOn w:val="Normal"/>
    <w:next w:val="Normal"/>
    <w:link w:val="Ttulo1Char"/>
    <w:uiPriority w:val="9"/>
    <w:qFormat/>
    <w:pPr>
      <w:keepNext w:val="true"/>
      <w:keepLines/>
      <w:spacing w:before="480" w:after="0"/>
      <w:outlineLvl w:val="0"/>
    </w:pPr>
    <w:rPr>
      <w:rFonts w:ascii="Calibri" w:hAnsi="Calibri" w:eastAsia="" w:cs="" w:asciiTheme="majorHAnsi" w:cstheme="majorBidi" w:eastAsiaTheme="majorEastAsia" w:hAnsiTheme="majorHAnsi"/>
      <w:b/>
      <w:bCs/>
      <w:color w:themeColor="accent1" w:themeShade="bf" w:val="376092"/>
      <w:sz w:val="28"/>
      <w:szCs w:val="28"/>
    </w:rPr>
  </w:style>
  <w:style w:type="paragraph" w:styleId="Heading2">
    <w:name w:val="Heading 2"/>
    <w:basedOn w:val="Normal"/>
    <w:next w:val="Normal"/>
    <w:link w:val="Ttulo2Char"/>
    <w:uiPriority w:val="0"/>
    <w:qFormat/>
    <w:pPr>
      <w:keepNext w:val="true"/>
      <w:tabs>
        <w:tab w:val="clear" w:pos="708"/>
        <w:tab w:val="left" w:pos="1701" w:leader="none"/>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Ttulo3Char"/>
    <w:uiPriority w:val="9"/>
    <w:semiHidden/>
    <w:unhideWhenUsed/>
    <w:qFormat/>
    <w:pPr>
      <w:keepNext w:val="true"/>
      <w:keepLines/>
      <w:spacing w:lineRule="auto" w:line="259" w:before="40" w:after="0"/>
      <w:outlineLvl w:val="2"/>
    </w:pPr>
    <w:rPr>
      <w:rFonts w:ascii="Calibri" w:hAnsi="Calibri" w:eastAsia="" w:cs="" w:asciiTheme="majorHAnsi" w:cstheme="majorBidi" w:eastAsiaTheme="majorEastAsia" w:hAnsiTheme="majorHAnsi"/>
      <w:color w:themeColor="accent1" w:themeShade="80" w:val="254061"/>
      <w:lang w:eastAsia="en-US"/>
    </w:rPr>
  </w:style>
  <w:style w:type="paragraph" w:styleId="Heading4">
    <w:name w:val="Heading 4"/>
    <w:basedOn w:val="Normal"/>
    <w:next w:val="Normal"/>
    <w:link w:val="Ttulo4Char"/>
    <w:uiPriority w:val="0"/>
    <w:semiHidden/>
    <w:unhideWhenUsed/>
    <w:qFormat/>
    <w:pPr>
      <w:keepNext w:val="true"/>
      <w:keepLines/>
      <w:spacing w:before="40" w:after="0"/>
      <w:outlineLvl w:val="3"/>
    </w:pPr>
    <w:rPr>
      <w:rFonts w:ascii="Calibri" w:hAnsi="Calibri" w:eastAsia="" w:cs="" w:asciiTheme="majorHAnsi" w:cstheme="majorBidi" w:eastAsiaTheme="majorEastAsia" w:hAnsiTheme="majorHAnsi"/>
      <w:i/>
      <w:iCs/>
      <w:color w:themeColor="accent1" w:themeShade="bf" w:val="376092"/>
    </w:rPr>
  </w:style>
  <w:style w:type="paragraph" w:styleId="Heading6">
    <w:name w:val="Heading 6"/>
    <w:basedOn w:val="Normal"/>
    <w:next w:val="Normal"/>
    <w:link w:val="Ttulo6Char"/>
    <w:uiPriority w:val="9"/>
    <w:semiHidden/>
    <w:unhideWhenUsed/>
    <w:qFormat/>
    <w:pPr>
      <w:keepNext w:val="true"/>
      <w:keepLines/>
      <w:spacing w:lineRule="auto" w:line="259" w:before="40" w:after="0"/>
      <w:outlineLvl w:val="5"/>
    </w:pPr>
    <w:rPr>
      <w:rFonts w:ascii="Calibri" w:hAnsi="Calibri" w:eastAsia="" w:cs="" w:asciiTheme="majorHAnsi" w:cstheme="majorBidi" w:eastAsiaTheme="majorEastAsia" w:hAnsiTheme="majorHAnsi"/>
      <w:color w:themeColor="accent1" w:themeShade="80" w:val="254061"/>
      <w:sz w:val="22"/>
      <w:szCs w:val="22"/>
      <w:lang w:eastAsia="en-US"/>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Annotationreference">
    <w:name w:val="annotation reference"/>
    <w:basedOn w:val="DefaultParagraphFont"/>
    <w:uiPriority w:val="0"/>
    <w:unhideWhenUsed/>
    <w:qFormat/>
    <w:rPr>
      <w:sz w:val="16"/>
      <w:szCs w:val="16"/>
    </w:rPr>
  </w:style>
  <w:style w:type="character" w:styleId="FollowedHyperlink">
    <w:name w:val="FollowedHyperlink"/>
    <w:basedOn w:val="DefaultParagraphFont"/>
    <w:uiPriority w:val="99"/>
    <w:semiHidden/>
    <w:unhideWhenUsed/>
    <w:qFormat/>
    <w:rPr>
      <w:color w:themeColor="followedHyperlink" w:val="800080"/>
      <w:u w:val="single"/>
      <w14:textFill>
        <w14:solidFill>
          <w14:schemeClr w14:val="folHlink"/>
        </w14:solidFill>
      </w14:textFill>
    </w:rPr>
  </w:style>
  <w:style w:type="character" w:styleId="Emphasis">
    <w:name w:val="Emphasis"/>
    <w:basedOn w:val="DefaultParagraphFont"/>
    <w:uiPriority w:val="20"/>
    <w:qFormat/>
    <w:rPr>
      <w:i/>
      <w:iCs/>
    </w:rPr>
  </w:style>
  <w:style w:type="character" w:styleId="Hyperlink" w:customStyle="1">
    <w:name w:val="Hyperlink"/>
    <w:basedOn w:val="DefaultParagraphFont"/>
    <w:uiPriority w:val="99"/>
    <w:unhideWhenUsed/>
    <w:qFormat/>
    <w:rPr>
      <w:color w:themeColor="hyperlink" w:val="0000FF"/>
      <w:u w:val="single"/>
      <w14:textFill>
        <w14:solidFill>
          <w14:schemeClr w14:val="hlink"/>
        </w14:solidFill>
      </w14:textFill>
    </w:rPr>
  </w:style>
  <w:style w:type="character" w:styleId="TextodebaloChar" w:customStyle="1">
    <w:name w:val="Texto de balão Char"/>
    <w:link w:val="BalloonText"/>
    <w:uiPriority w:val="99"/>
    <w:qFormat/>
    <w:rPr>
      <w:rFonts w:ascii="Tahoma" w:hAnsi="Tahoma" w:cs="Tahoma"/>
      <w:sz w:val="16"/>
      <w:szCs w:val="16"/>
    </w:rPr>
  </w:style>
  <w:style w:type="character" w:styleId="Ttulo2Char" w:customStyle="1">
    <w:name w:val="Título 2 Char"/>
    <w:uiPriority w:val="0"/>
    <w:qFormat/>
    <w:rPr>
      <w:b/>
      <w:color w:val="000000"/>
      <w:sz w:val="24"/>
    </w:rPr>
  </w:style>
  <w:style w:type="character" w:styleId="Normalchar1" w:customStyle="1">
    <w:name w:val="normal__char1"/>
    <w:uiPriority w:val="0"/>
    <w:qFormat/>
    <w:rPr>
      <w:rFonts w:ascii="Arial" w:hAnsi="Arial" w:cs="Arial"/>
      <w:sz w:val="24"/>
      <w:szCs w:val="24"/>
      <w:u w:val="none"/>
    </w:rPr>
  </w:style>
  <w:style w:type="character" w:styleId="Apple-style-span" w:customStyle="1">
    <w:name w:val="apple-style-span"/>
    <w:basedOn w:val="DefaultParagraphFont"/>
    <w:uiPriority w:val="0"/>
    <w:qFormat/>
    <w:rPr/>
  </w:style>
  <w:style w:type="character" w:styleId="CitaoChar" w:customStyle="1">
    <w:name w:val="Citação Char"/>
    <w:link w:val="Quote"/>
    <w:uiPriority w:val="0"/>
    <w:qFormat/>
    <w:rPr>
      <w:rFonts w:ascii="Arial" w:hAnsi="Arial" w:eastAsia="Calibri" w:cs="Tahoma"/>
      <w:i/>
      <w:iCs/>
      <w:color w:val="000000"/>
      <w:szCs w:val="24"/>
      <w:shd w:fill="FFFFCC" w:val="clear"/>
    </w:rPr>
  </w:style>
  <w:style w:type="character" w:styleId="NotaexplicativaChar" w:customStyle="1">
    <w:name w:val="Nota explicativa Char"/>
    <w:basedOn w:val="CitaoChar"/>
    <w:link w:val="Notaexplicativa"/>
    <w:uiPriority w:val="0"/>
    <w:qFormat/>
    <w:rPr>
      <w:rFonts w:ascii="Arial" w:hAnsi="Arial" w:eastAsia="Calibri" w:cs="Tahoma"/>
      <w:color w:val="000000"/>
      <w:szCs w:val="24"/>
      <w:shd w:fill="FFFFCC" w:val="clear"/>
    </w:rPr>
  </w:style>
  <w:style w:type="character" w:styleId="CabealhoChar" w:customStyle="1">
    <w:name w:val="Cabeçalho Char"/>
    <w:uiPriority w:val="99"/>
    <w:qFormat/>
    <w:rPr>
      <w:rFonts w:ascii="Ecofont_Spranq_eco_Sans" w:hAnsi="Ecofont_Spranq_eco_Sans" w:cs="Tahoma"/>
      <w:sz w:val="24"/>
      <w:szCs w:val="24"/>
    </w:rPr>
  </w:style>
  <w:style w:type="character" w:styleId="RodapChar" w:customStyle="1">
    <w:name w:val="Rodapé Char"/>
    <w:uiPriority w:val="99"/>
    <w:qFormat/>
    <w:rPr>
      <w:rFonts w:ascii="Ecofont_Spranq_eco_Sans" w:hAnsi="Ecofont_Spranq_eco_Sans" w:cs="Tahoma"/>
      <w:sz w:val="24"/>
      <w:szCs w:val="24"/>
    </w:rPr>
  </w:style>
  <w:style w:type="character" w:styleId="TextodecomentrioChar" w:customStyle="1">
    <w:name w:val="Texto de comentário Char"/>
    <w:basedOn w:val="DefaultParagraphFont"/>
    <w:link w:val="Annotationtext"/>
    <w:uiPriority w:val="99"/>
    <w:qFormat/>
    <w:rPr>
      <w:rFonts w:ascii="Ecofont_Spranq_eco_Sans" w:hAnsi="Ecofont_Spranq_eco_Sans" w:cs="Tahoma"/>
      <w:lang w:eastAsia="pt-BR"/>
    </w:rPr>
  </w:style>
  <w:style w:type="character" w:styleId="AssuntodocomentrioChar" w:customStyle="1">
    <w:name w:val="Assunto do comentário Char"/>
    <w:basedOn w:val="TextodecomentrioChar"/>
    <w:link w:val="Annotationsubject"/>
    <w:uiPriority w:val="99"/>
    <w:semiHidden/>
    <w:qFormat/>
    <w:rPr>
      <w:rFonts w:ascii="Ecofont_Spranq_eco_Sans" w:hAnsi="Ecofont_Spranq_eco_Sans" w:cs="Tahoma"/>
      <w:b/>
      <w:bCs/>
      <w:lang w:eastAsia="pt-BR"/>
    </w:rPr>
  </w:style>
  <w:style w:type="character" w:styleId="Ttulo4Char" w:customStyle="1">
    <w:name w:val="Título 4 Char"/>
    <w:basedOn w:val="DefaultParagraphFont"/>
    <w:uiPriority w:val="0"/>
    <w:qFormat/>
    <w:rPr>
      <w:rFonts w:ascii="Calibri" w:hAnsi="Calibri" w:eastAsia="" w:cs="" w:asciiTheme="majorHAnsi" w:cstheme="majorBidi" w:eastAsiaTheme="majorEastAsia" w:hAnsiTheme="majorHAnsi"/>
      <w:i/>
      <w:iCs/>
      <w:color w:themeColor="accent1" w:themeShade="bf" w:val="376092"/>
      <w:sz w:val="24"/>
      <w:szCs w:val="24"/>
      <w:lang w:eastAsia="pt-BR"/>
    </w:rPr>
  </w:style>
  <w:style w:type="character" w:styleId="TtuloChar" w:customStyle="1">
    <w:name w:val="Título Char"/>
    <w:basedOn w:val="DefaultParagraphFont"/>
    <w:uiPriority w:val="0"/>
    <w:qFormat/>
    <w:rPr>
      <w:rFonts w:ascii="Calibri" w:hAnsi="Calibri" w:eastAsia="" w:cs="" w:asciiTheme="majorHAnsi" w:cstheme="majorBidi" w:eastAsiaTheme="majorEastAsia" w:hAnsiTheme="majorHAnsi"/>
      <w:color w:themeColor="text2" w:themeShade="bf" w:val="17375E"/>
      <w:spacing w:val="5"/>
      <w:kern w:val="2"/>
      <w:sz w:val="52"/>
      <w:szCs w:val="52"/>
      <w:lang w:eastAsia="pt-BR"/>
    </w:rPr>
  </w:style>
  <w:style w:type="character" w:styleId="Nivel01Char" w:customStyle="1">
    <w:name w:val="Nivel 01 Char"/>
    <w:basedOn w:val="TtuloChar"/>
    <w:link w:val="Nivel01"/>
    <w:uiPriority w:val="0"/>
    <w:qFormat/>
    <w:rPr>
      <w:rFonts w:ascii="Arial" w:hAnsi="Arial" w:eastAsia="" w:cs="Arial" w:eastAsiaTheme="majorEastAsia"/>
      <w:b/>
      <w:bCs/>
      <w:color w:themeColor="text2" w:themeShade="bf" w:val="17375E"/>
      <w:spacing w:val="5"/>
      <w:kern w:val="2"/>
      <w:sz w:val="52"/>
      <w:szCs w:val="52"/>
      <w:lang w:eastAsia="pt-BR"/>
    </w:rPr>
  </w:style>
  <w:style w:type="character" w:styleId="Ttulo1Char" w:customStyle="1">
    <w:name w:val="Título 1 Char"/>
    <w:basedOn w:val="DefaultParagraphFont"/>
    <w:uiPriority w:val="9"/>
    <w:qFormat/>
    <w:rPr>
      <w:rFonts w:ascii="Calibri" w:hAnsi="Calibri" w:eastAsia="" w:cs="" w:asciiTheme="majorHAnsi" w:cstheme="majorBidi" w:eastAsiaTheme="majorEastAsia" w:hAnsiTheme="majorHAnsi"/>
      <w:b/>
      <w:bCs/>
      <w:color w:themeColor="accent1" w:themeShade="bf" w:val="376092"/>
      <w:sz w:val="28"/>
      <w:szCs w:val="28"/>
      <w:lang w:eastAsia="pt-BR"/>
    </w:rPr>
  </w:style>
  <w:style w:type="character" w:styleId="Nivel01TituloChar" w:customStyle="1">
    <w:name w:val="Nivel_01_Titulo Char"/>
    <w:basedOn w:val="Nivel01Char"/>
    <w:link w:val="Nivel01Titulo"/>
    <w:uiPriority w:val="0"/>
    <w:qFormat/>
    <w:rPr>
      <w:rFonts w:ascii="Arial" w:hAnsi="Arial" w:eastAsia="" w:cs="" w:cstheme="majorBidi" w:eastAsiaTheme="majorEastAsia"/>
      <w:color w:themeColor="text1" w:val="000000"/>
      <w:spacing w:val="5"/>
      <w:kern w:val="2"/>
      <w:sz w:val="52"/>
      <w:szCs w:val="52"/>
      <w:lang w:eastAsia="pt-BR"/>
      <w14:textFill>
        <w14:solidFill>
          <w14:schemeClr w14:val="tx1"/>
        </w14:solidFill>
      </w14:textFill>
    </w:rPr>
  </w:style>
  <w:style w:type="character" w:styleId="QuoteChar" w:customStyle="1">
    <w:name w:val="Quote Char"/>
    <w:basedOn w:val="DefaultParagraphFont"/>
    <w:link w:val="Citao1"/>
    <w:uiPriority w:val="0"/>
    <w:qFormat/>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uiPriority w:val="0"/>
    <w:qFormat/>
    <w:rPr/>
  </w:style>
  <w:style w:type="character" w:styleId="Eop" w:customStyle="1">
    <w:name w:val="eop"/>
    <w:basedOn w:val="DefaultParagraphFont"/>
    <w:uiPriority w:val="0"/>
    <w:qFormat/>
    <w:rPr/>
  </w:style>
  <w:style w:type="character" w:styleId="Spellingerror" w:customStyle="1">
    <w:name w:val="spellingerror"/>
    <w:basedOn w:val="DefaultParagraphFont"/>
    <w:uiPriority w:val="0"/>
    <w:qFormat/>
    <w:rPr/>
  </w:style>
  <w:style w:type="character" w:styleId="CorpodetextoChar" w:customStyle="1">
    <w:name w:val="Corpo de texto Char"/>
    <w:basedOn w:val="DefaultParagraphFont"/>
    <w:uiPriority w:val="99"/>
    <w:qFormat/>
    <w:rPr>
      <w:rFonts w:eastAsia="Times New Roman"/>
      <w:sz w:val="24"/>
      <w:szCs w:val="24"/>
      <w:lang w:eastAsia="pt-BR"/>
    </w:rPr>
  </w:style>
  <w:style w:type="character" w:styleId="Nivel1Char" w:customStyle="1">
    <w:name w:val="Nivel1 Char"/>
    <w:basedOn w:val="Ttulo1Char"/>
    <w:link w:val="Nivel1"/>
    <w:uiPriority w:val="0"/>
    <w:qFormat/>
    <w:rPr>
      <w:rFonts w:ascii="Arial" w:hAnsi="Arial" w:eastAsia="" w:cs="Arial" w:eastAsiaTheme="majorEastAsia"/>
      <w:bCs w:val="false"/>
      <w:color w:themeColor="accent1" w:themeShade="bf" w:val="000000"/>
      <w:sz w:val="28"/>
      <w:szCs w:val="28"/>
      <w:lang w:eastAsia="pt-BR"/>
    </w:rPr>
  </w:style>
  <w:style w:type="character" w:styleId="Nivel4Char" w:customStyle="1">
    <w:name w:val="Nivel 4 Char"/>
    <w:basedOn w:val="DefaultParagraphFont"/>
    <w:link w:val="Nivel4"/>
    <w:uiPriority w:val="0"/>
    <w:qFormat/>
    <w:rPr>
      <w:rFonts w:ascii="Arial" w:hAnsi="Arial" w:cs="Arial"/>
      <w:lang w:eastAsia="pt-BR"/>
    </w:rPr>
  </w:style>
  <w:style w:type="character" w:styleId="Cp0020corpodespachochar1" w:customStyle="1">
    <w:name w:val="cp_0020corpodespacho__char1"/>
    <w:uiPriority w:val="0"/>
    <w:qFormat/>
    <w:rPr>
      <w:rFonts w:ascii="Times New Roman" w:hAnsi="Times New Roman" w:cs="Times New Roman"/>
      <w:sz w:val="26"/>
      <w:szCs w:val="26"/>
      <w:u w:val="none"/>
    </w:rPr>
  </w:style>
  <w:style w:type="character" w:styleId="Em0020ementachar1" w:customStyle="1">
    <w:name w:val="em_0020ementa__char1"/>
    <w:uiPriority w:val="0"/>
    <w:qFormat/>
    <w:rPr>
      <w:rFonts w:ascii="Times New Roman" w:hAnsi="Times New Roman" w:cs="Times New Roman"/>
      <w:sz w:val="28"/>
      <w:szCs w:val="28"/>
      <w:u w:val="none"/>
    </w:rPr>
  </w:style>
  <w:style w:type="character" w:styleId="Manoel" w:customStyle="1">
    <w:name w:val="Manoel"/>
    <w:uiPriority w:val="0"/>
    <w:qFormat/>
    <w:rPr>
      <w:rFonts w:ascii="Arial" w:hAnsi="Arial" w:cs="Arial"/>
      <w:color w:val="7030A0"/>
      <w:sz w:val="20"/>
    </w:rPr>
  </w:style>
  <w:style w:type="character" w:styleId="GradeColorida-nfase1Char" w:customStyle="1">
    <w:name w:val="Grade Colorida - Ênfase 1 Char"/>
    <w:link w:val="GradeColorida-nfase11"/>
    <w:uiPriority w:val="29"/>
    <w:qFormat/>
    <w:rPr>
      <w:rFonts w:ascii="Arial" w:hAnsi="Arial" w:eastAsia="Calibri"/>
      <w:i/>
      <w:iCs/>
      <w:color w:val="000000"/>
      <w:szCs w:val="24"/>
      <w:shd w:fill="FFFFCC" w:val="clear"/>
    </w:rPr>
  </w:style>
  <w:style w:type="character" w:styleId="Highlight" w:customStyle="1">
    <w:name w:val="highlight"/>
    <w:basedOn w:val="DefaultParagraphFont"/>
    <w:uiPriority w:val="0"/>
    <w:qFormat/>
    <w:rPr/>
  </w:style>
  <w:style w:type="character" w:styleId="MenoPendente1" w:customStyle="1">
    <w:name w:val="Menção Pendente1"/>
    <w:basedOn w:val="DefaultParagraphFont"/>
    <w:uiPriority w:val="99"/>
    <w:semiHidden/>
    <w:unhideWhenUsed/>
    <w:qFormat/>
    <w:rPr>
      <w:color w:val="605E5C"/>
      <w:shd w:fill="E1DFDD" w:val="clear"/>
    </w:rPr>
  </w:style>
  <w:style w:type="character" w:styleId="MenoPendente2" w:customStyle="1">
    <w:name w:val="Menção Pendente2"/>
    <w:basedOn w:val="DefaultParagraphFont"/>
    <w:uiPriority w:val="99"/>
    <w:semiHidden/>
    <w:unhideWhenUsed/>
    <w:qFormat/>
    <w:rPr>
      <w:color w:val="605E5C"/>
      <w:shd w:fill="E1DFDD" w:val="clear"/>
    </w:rPr>
  </w:style>
  <w:style w:type="character" w:styleId="Nivel2Char" w:customStyle="1">
    <w:name w:val="Nivel 2 Char"/>
    <w:basedOn w:val="DefaultParagraphFont"/>
    <w:link w:val="Nivel2"/>
    <w:uiPriority w:val="0"/>
    <w:qFormat/>
    <w:locked/>
    <w:rPr>
      <w:rFonts w:ascii="Arial" w:hAnsi="Arial" w:cs="Arial"/>
      <w:color w:val="000000"/>
      <w:lang w:eastAsia="pt-BR"/>
    </w:rPr>
  </w:style>
  <w:style w:type="character" w:styleId="Nvel2OpcionalChar" w:customStyle="1">
    <w:name w:val="Nível 2 Opcional Char"/>
    <w:basedOn w:val="DefaultParagraphFont"/>
    <w:link w:val="Nvel2Opcional"/>
    <w:uiPriority w:val="0"/>
    <w:qFormat/>
    <w:rPr>
      <w:rFonts w:ascii="Arial" w:hAnsi="Arial" w:eastAsia="Times New Roman" w:cs="Arial"/>
      <w:i/>
      <w:color w:val="FF0000"/>
      <w:lang w:eastAsia="pt-BR"/>
    </w:rPr>
  </w:style>
  <w:style w:type="character" w:styleId="Nvel3OpcionalChar" w:customStyle="1">
    <w:name w:val="Nível 3 Opcional Char"/>
    <w:basedOn w:val="DefaultParagraphFont"/>
    <w:link w:val="Nvel3Opcional"/>
    <w:uiPriority w:val="0"/>
    <w:qFormat/>
    <w:rPr>
      <w:rFonts w:ascii="Arial" w:hAnsi="Arial" w:eastAsia="Times New Roman" w:cs="Arial"/>
      <w:i/>
      <w:iCs/>
      <w:color w:val="FF0000"/>
      <w:lang w:eastAsia="pt-BR"/>
    </w:rPr>
  </w:style>
  <w:style w:type="character" w:styleId="PlaceholderText">
    <w:name w:val="Placeholder Text"/>
    <w:basedOn w:val="DefaultParagraphFont"/>
    <w:uiPriority w:val="67"/>
    <w:semiHidden/>
    <w:qFormat/>
    <w:rPr>
      <w:color w:val="808080"/>
    </w:rPr>
  </w:style>
  <w:style w:type="character" w:styleId="PargrafodaListaChar" w:customStyle="1">
    <w:name w:val="Parágrafo da Lista Char"/>
    <w:basedOn w:val="DefaultParagraphFont"/>
    <w:link w:val="ListParagraph"/>
    <w:uiPriority w:val="34"/>
    <w:qFormat/>
    <w:rPr>
      <w:rFonts w:ascii="Ecofont_Spranq_eco_Sans" w:hAnsi="Ecofont_Spranq_eco_Sans" w:cs="Tahoma"/>
      <w:sz w:val="24"/>
      <w:szCs w:val="24"/>
      <w:lang w:eastAsia="pt-BR"/>
    </w:rPr>
  </w:style>
  <w:style w:type="character" w:styleId="Ttulo3Char" w:customStyle="1">
    <w:name w:val="Título 3 Char"/>
    <w:basedOn w:val="DefaultParagraphFont"/>
    <w:uiPriority w:val="9"/>
    <w:semiHidden/>
    <w:qFormat/>
    <w:rPr>
      <w:rFonts w:ascii="Calibri" w:hAnsi="Calibri" w:eastAsia="" w:cs="" w:asciiTheme="majorHAnsi" w:cstheme="majorBidi" w:eastAsiaTheme="majorEastAsia" w:hAnsiTheme="majorHAnsi"/>
      <w:color w:themeColor="accent1" w:themeShade="80" w:val="254061"/>
      <w:sz w:val="24"/>
      <w:szCs w:val="24"/>
    </w:rPr>
  </w:style>
  <w:style w:type="character" w:styleId="Ttulo6Char" w:customStyle="1">
    <w:name w:val="Título 6 Char"/>
    <w:basedOn w:val="DefaultParagraphFont"/>
    <w:uiPriority w:val="9"/>
    <w:semiHidden/>
    <w:qFormat/>
    <w:rPr>
      <w:rFonts w:ascii="Calibri" w:hAnsi="Calibri" w:eastAsia="" w:cs="" w:asciiTheme="majorHAnsi" w:cstheme="majorBidi" w:eastAsiaTheme="majorEastAsia" w:hAnsiTheme="majorHAnsi"/>
      <w:color w:themeColor="accent1" w:themeShade="80" w:val="254061"/>
      <w:sz w:val="22"/>
      <w:szCs w:val="22"/>
    </w:rPr>
  </w:style>
  <w:style w:type="character" w:styleId="Markedcontent" w:customStyle="1">
    <w:name w:val="markedcontent"/>
    <w:basedOn w:val="DefaultParagraphFont"/>
    <w:uiPriority w:val="0"/>
    <w:qFormat/>
    <w:rPr/>
  </w:style>
  <w:style w:type="character" w:styleId="MenoPendente3" w:customStyle="1">
    <w:name w:val="Menção Pendente3"/>
    <w:basedOn w:val="DefaultParagraphFont"/>
    <w:uiPriority w:val="99"/>
    <w:semiHidden/>
    <w:unhideWhenUsed/>
    <w:qFormat/>
    <w:rPr>
      <w:color w:val="605E5C"/>
      <w:shd w:fill="E1DFDD" w:val="clear"/>
    </w:rPr>
  </w:style>
  <w:style w:type="character" w:styleId="MenoPendente4" w:customStyle="1">
    <w:name w:val="Menção Pendente4"/>
    <w:basedOn w:val="DefaultParagraphFont"/>
    <w:uiPriority w:val="99"/>
    <w:semiHidden/>
    <w:unhideWhenUsed/>
    <w:qFormat/>
    <w:rPr>
      <w:color w:val="605E5C"/>
      <w:shd w:fill="E1DFDD" w:val="clear"/>
    </w:rPr>
  </w:style>
  <w:style w:type="character" w:styleId="OuChar" w:customStyle="1">
    <w:name w:val="ou Char"/>
    <w:basedOn w:val="PargrafodaListaChar"/>
    <w:link w:val="Ou"/>
    <w:uiPriority w:val="0"/>
    <w:qFormat/>
    <w:rPr>
      <w:rFonts w:ascii="Arial" w:hAnsi="Arial" w:eastAsia="Cambria" w:cs="Arial" w:eastAsiaTheme="minorHAnsi"/>
      <w:b/>
      <w:bCs/>
      <w:i/>
      <w:iCs/>
      <w:color w:val="FF0000"/>
      <w:sz w:val="24"/>
      <w:szCs w:val="24"/>
      <w:u w:val="single"/>
      <w:lang w:eastAsia="pt-BR"/>
    </w:rPr>
  </w:style>
  <w:style w:type="character" w:styleId="Nvel2-RedChar" w:customStyle="1">
    <w:name w:val="Nível 2 -Red Char"/>
    <w:basedOn w:val="Nivel2Char"/>
    <w:link w:val="Nvel2-Red"/>
    <w:uiPriority w:val="0"/>
    <w:qFormat/>
    <w:rPr>
      <w:rFonts w:ascii="Arial" w:hAnsi="Arial" w:cs="Arial"/>
      <w:i/>
      <w:iCs/>
      <w:color w:val="FF0000"/>
      <w:lang w:eastAsia="pt-BR"/>
    </w:rPr>
  </w:style>
  <w:style w:type="character" w:styleId="Nivel3Char" w:customStyle="1">
    <w:name w:val="Nivel 3 Char"/>
    <w:basedOn w:val="DefaultParagraphFont"/>
    <w:link w:val="Nivel3"/>
    <w:uiPriority w:val="0"/>
    <w:qFormat/>
    <w:rPr>
      <w:rFonts w:ascii="Arial" w:hAnsi="Arial" w:cs="Arial"/>
      <w:color w:val="000000"/>
      <w:lang w:eastAsia="pt-BR"/>
    </w:rPr>
  </w:style>
  <w:style w:type="character" w:styleId="Nvel3-RChar" w:customStyle="1">
    <w:name w:val="Nível 3-R Char"/>
    <w:basedOn w:val="Nivel3Char"/>
    <w:link w:val="Nvel3-R"/>
    <w:uiPriority w:val="0"/>
    <w:qFormat/>
    <w:rPr>
      <w:rFonts w:ascii="Arial" w:hAnsi="Arial" w:cs="Arial"/>
      <w:i/>
      <w:iCs/>
      <w:color w:val="FF0000"/>
      <w:lang w:eastAsia="pt-BR"/>
    </w:rPr>
  </w:style>
  <w:style w:type="character" w:styleId="Nvel4-RChar" w:customStyle="1">
    <w:name w:val="Nível 4-R Char"/>
    <w:basedOn w:val="Nivel4Char"/>
    <w:link w:val="Nvel4-R"/>
    <w:uiPriority w:val="0"/>
    <w:qFormat/>
    <w:rPr>
      <w:rFonts w:ascii="Arial" w:hAnsi="Arial" w:cs="Arial"/>
      <w:i/>
      <w:iCs/>
      <w:color w:val="FF0000"/>
      <w:lang w:eastAsia="pt-BR"/>
    </w:rPr>
  </w:style>
  <w:style w:type="character" w:styleId="Nvel1-SemNumChar" w:customStyle="1">
    <w:name w:val="Nível 1-Sem Num Char"/>
    <w:basedOn w:val="Nivel01Char"/>
    <w:link w:val="Nvel1-SemNum"/>
    <w:uiPriority w:val="0"/>
    <w:qFormat/>
    <w:rPr>
      <w:rFonts w:ascii="Arial" w:hAnsi="Arial" w:eastAsia="" w:cs="Arial" w:eastAsiaTheme="majorEastAsia"/>
      <w:color w:themeColor="text2" w:themeShade="bf" w:val="FF0000"/>
      <w:spacing w:val="5"/>
      <w:kern w:val="2"/>
      <w:sz w:val="52"/>
      <w:szCs w:val="52"/>
      <w:lang w:eastAsia="pt-BR"/>
    </w:rPr>
  </w:style>
  <w:style w:type="character" w:styleId="PrembuloChar" w:customStyle="1">
    <w:name w:val="Preâmbulo Char"/>
    <w:basedOn w:val="DefaultParagraphFont"/>
    <w:link w:val="Prembulo"/>
    <w:uiPriority w:val="0"/>
    <w:qFormat/>
    <w:rPr>
      <w:rFonts w:ascii="Arial" w:hAnsi="Arial" w:eastAsia="Arial" w:cs="Arial"/>
      <w:bCs/>
      <w:lang w:eastAsia="pt-BR"/>
    </w:rPr>
  </w:style>
  <w:style w:type="character" w:styleId="UnresolvedMention" w:customStyle="1">
    <w:name w:val="Unresolved Mention"/>
    <w:basedOn w:val="DefaultParagraphFont"/>
    <w:uiPriority w:val="99"/>
    <w:semiHidden/>
    <w:unhideWhenUsed/>
    <w:qFormat/>
    <w:rPr>
      <w:color w:val="605E5C"/>
      <w:shd w:fill="E1DFDD" w:val="clear"/>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detextoChar"/>
    <w:uiPriority w:val="99"/>
    <w:unhideWhenUsed/>
    <w:qFormat/>
    <w:pPr>
      <w:spacing w:beforeAutospacing="1" w:afterAutospacing="1"/>
    </w:pPr>
    <w:rPr>
      <w:rFonts w:ascii="Times New Roman" w:hAnsi="Times New Roman" w:eastAsia="Times New Roman" w:cs="Times New Roman"/>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Annotationtext">
    <w:name w:val="annotation text"/>
    <w:basedOn w:val="Normal"/>
    <w:link w:val="TextodecomentrioChar"/>
    <w:uiPriority w:val="99"/>
    <w:unhideWhenUsed/>
    <w:qFormat/>
    <w:pPr/>
    <w:rPr>
      <w:sz w:val="20"/>
      <w:szCs w:val="20"/>
    </w:rPr>
  </w:style>
  <w:style w:type="paragraph" w:styleId="Title">
    <w:name w:val="Title"/>
    <w:basedOn w:val="Normal"/>
    <w:next w:val="Normal"/>
    <w:link w:val="TtuloChar"/>
    <w:uiPriority w:val="0"/>
    <w:qFormat/>
    <w:pPr>
      <w:pBdr>
        <w:bottom w:val="single" w:sz="8" w:space="4" w:color="4F81BD" w:themeColor="accent1"/>
      </w:pBdr>
      <w:spacing w:before="0" w:after="300"/>
      <w:contextualSpacing/>
    </w:pPr>
    <w:rPr>
      <w:rFonts w:ascii="Calibri" w:hAnsi="Calibri" w:eastAsia="" w:cs="" w:asciiTheme="majorHAnsi" w:cstheme="majorBidi" w:eastAsiaTheme="majorEastAsia" w:hAnsiTheme="majorHAnsi"/>
      <w:color w:themeColor="text2" w:themeShade="bf" w:val="17375E"/>
      <w:spacing w:val="5"/>
      <w:kern w:val="2"/>
      <w:sz w:val="52"/>
      <w:szCs w:val="52"/>
    </w:rPr>
  </w:style>
  <w:style w:type="paragraph" w:styleId="ListBullet5">
    <w:name w:val="List Bullet 5"/>
    <w:basedOn w:val="Normal"/>
    <w:uiPriority w:val="0"/>
    <w:qFormat/>
    <w:pPr>
      <w:numPr>
        <w:ilvl w:val="0"/>
        <w:numId w:val="1"/>
      </w:numPr>
      <w:spacing w:before="0" w:after="0"/>
      <w:contextualSpacing/>
    </w:pPr>
    <w:r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eRodap">
    <w:name w:val="Cabeçalho e Rodapé"/>
    <w:basedOn w:val="Normal"/>
    <w:qFormat/>
    <w:pPr/>
    <w:rPr/>
  </w:style>
  <w:style w:type="paragraph" w:styleId="Header">
    <w:name w:val="Header"/>
    <w:basedOn w:val="Normal"/>
    <w:link w:val="CabealhoChar"/>
    <w:uiPriority w:val="99"/>
    <w:qFormat/>
    <w:pPr>
      <w:tabs>
        <w:tab w:val="clear" w:pos="708"/>
        <w:tab w:val="center" w:pos="4252" w:leader="none"/>
        <w:tab w:val="right" w:pos="8504" w:leader="none"/>
      </w:tabs>
    </w:pPr>
    <w:rPr/>
  </w:style>
  <w:style w:type="paragraph" w:styleId="Annotationsubject">
    <w:name w:val="annotation subject"/>
    <w:basedOn w:val="Annotationtext"/>
    <w:next w:val="Annotationtext"/>
    <w:link w:val="AssuntodocomentrioChar"/>
    <w:uiPriority w:val="99"/>
    <w:semiHidden/>
    <w:unhideWhenUsed/>
    <w:qFormat/>
    <w:pPr/>
    <w:rPr>
      <w:b/>
      <w:bCs/>
    </w:rPr>
  </w:style>
  <w:style w:type="paragraph" w:styleId="Footer">
    <w:name w:val="Footer"/>
    <w:basedOn w:val="Normal"/>
    <w:link w:val="RodapChar"/>
    <w:uiPriority w:val="99"/>
    <w:qFormat/>
    <w:pPr>
      <w:tabs>
        <w:tab w:val="clear" w:pos="708"/>
        <w:tab w:val="center" w:pos="4252" w:leader="none"/>
        <w:tab w:val="right" w:pos="8504" w:leader="none"/>
      </w:tabs>
    </w:pPr>
    <w:rPr/>
  </w:style>
  <w:style w:type="paragraph" w:styleId="BalloonText">
    <w:name w:val="Balloon Text"/>
    <w:basedOn w:val="Normal"/>
    <w:link w:val="TextodebaloChar"/>
    <w:uiPriority w:val="99"/>
    <w:qFormat/>
    <w:pPr/>
    <w:rPr>
      <w:rFonts w:ascii="Tahoma" w:hAnsi="Tahoma"/>
      <w:sz w:val="16"/>
      <w:szCs w:val="16"/>
    </w:rPr>
  </w:style>
  <w:style w:type="paragraph" w:styleId="ListParagraph">
    <w:name w:val="List Paragraph"/>
    <w:basedOn w:val="Normal"/>
    <w:link w:val="PargrafodaListaChar"/>
    <w:uiPriority w:val="34"/>
    <w:qFormat/>
    <w:pPr>
      <w:spacing w:before="0" w:after="0"/>
      <w:ind w:left="720"/>
      <w:contextualSpacing/>
    </w:pPr>
    <w:rPr/>
  </w:style>
  <w:style w:type="paragraph" w:styleId="Nvel2" w:customStyle="1">
    <w:name w:val="Nível 2"/>
    <w:basedOn w:val="Normal"/>
    <w:next w:val="Normal"/>
    <w:uiPriority w:val="0"/>
    <w:qFormat/>
    <w:pPr>
      <w:spacing w:before="0" w:after="120"/>
      <w:jc w:val="both"/>
    </w:pPr>
    <w:rPr>
      <w:rFonts w:ascii="Arial" w:hAnsi="Arial" w:cs="Times New Roman"/>
      <w:b/>
      <w:szCs w:val="20"/>
    </w:rPr>
  </w:style>
  <w:style w:type="paragraph" w:styleId="Quote">
    <w:name w:val="Quote"/>
    <w:basedOn w:val="Normal"/>
    <w:next w:val="Normal"/>
    <w:link w:val="CitaoChar"/>
    <w:uiPriority w:val="0"/>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Notaexplicativa" w:customStyle="1">
    <w:name w:val="Nota explicativa"/>
    <w:basedOn w:val="Quote"/>
    <w:link w:val="NotaexplicativaChar"/>
    <w:uiPriority w:val="0"/>
    <w:qFormat/>
    <w:pPr/>
    <w:rPr>
      <w:szCs w:val="20"/>
    </w:rPr>
  </w:style>
  <w:style w:type="paragraph" w:styleId="Nivel01" w:customStyle="1">
    <w:name w:val="Nivel 01"/>
    <w:basedOn w:val="Heading1"/>
    <w:next w:val="Normal"/>
    <w:link w:val="Nivel01Char"/>
    <w:uiPriority w:val="0"/>
    <w:qFormat/>
    <w:pPr>
      <w:numPr>
        <w:ilvl w:val="0"/>
        <w:numId w:val="2"/>
      </w:numPr>
      <w:tabs>
        <w:tab w:val="clear" w:pos="708"/>
        <w:tab w:val="left" w:pos="567" w:leader="none"/>
      </w:tabs>
      <w:spacing w:before="240" w:after="0"/>
      <w:jc w:val="both"/>
    </w:pPr>
    <w:rPr>
      <w:rFonts w:ascii="Arial" w:hAnsi="Arial" w:cs="Arial"/>
      <w:color w:themeColor="accent1" w:themeShade="bf" w:val="auto"/>
      <w:sz w:val="20"/>
      <w:szCs w:val="20"/>
    </w:rPr>
  </w:style>
  <w:style w:type="paragraph" w:styleId="Nivel01Titulo" w:customStyle="1">
    <w:name w:val="Nivel_01_Titulo"/>
    <w:basedOn w:val="Nivel01"/>
    <w:link w:val="Nivel01TituloChar"/>
    <w:uiPriority w:val="0"/>
    <w:qFormat/>
    <w:pPr>
      <w:jc w:val="left"/>
    </w:pPr>
    <w:rPr>
      <w:rFonts w:cs="" w:cstheme="majorBidi"/>
      <w:color w:themeColor="text1" w:val="000000"/>
      <w:spacing w:val="5"/>
      <w:kern w:val="2"/>
      <w:sz w:val="52"/>
      <w:szCs w:val="52"/>
      <w14:textFill>
        <w14:solidFill>
          <w14:schemeClr w14:val="tx1"/>
        </w14:solidFill>
      </w14:textFill>
    </w:rPr>
  </w:style>
  <w:style w:type="paragraph" w:styleId="PADRO" w:customStyle="1">
    <w:name w:val="PADRÃO"/>
    <w:uiPriority w:val="0"/>
    <w:qFormat/>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uiPriority w:val="0"/>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uiPriority w:val="0"/>
    <w:qFormat/>
    <w:pPr>
      <w:spacing w:beforeAutospacing="1" w:afterAutospacing="1"/>
    </w:pPr>
    <w:rPr>
      <w:rFonts w:ascii="Times New Roman" w:hAnsi="Times New Roman" w:eastAsia="Times New Roman" w:cs="Times New Roman"/>
    </w:rPr>
  </w:style>
  <w:style w:type="paragraph" w:styleId="Nivel1" w:customStyle="1">
    <w:name w:val="Nivel1"/>
    <w:basedOn w:val="Heading1"/>
    <w:link w:val="Nivel1Char"/>
    <w:uiPriority w:val="0"/>
    <w:qFormat/>
    <w:pPr>
      <w:spacing w:lineRule="auto" w:line="276"/>
      <w:ind w:hanging="357" w:left="357"/>
      <w:jc w:val="both"/>
    </w:pPr>
    <w:rPr>
      <w:rFonts w:ascii="Arial" w:hAnsi="Arial" w:cs="Arial"/>
      <w:bCs w:val="false"/>
      <w:color w:themeColor="accent1" w:themeShade="bf" w:val="000000"/>
    </w:rPr>
  </w:style>
  <w:style w:type="paragraph" w:styleId="PargrafodaLista1" w:customStyle="1">
    <w:name w:val="Parágrafo da Lista1"/>
    <w:basedOn w:val="Normal"/>
    <w:uiPriority w:val="0"/>
    <w:qFormat/>
    <w:pPr>
      <w:ind w:left="720"/>
    </w:pPr>
    <w:rPr>
      <w:rFonts w:eastAsia="Times New Roman" w:cs="Ecofont_Spranq_eco_Sans"/>
    </w:rPr>
  </w:style>
  <w:style w:type="paragraph" w:styleId="Nivel2" w:customStyle="1">
    <w:name w:val="Nivel 2"/>
    <w:basedOn w:val="Normal"/>
    <w:link w:val="Nivel2Char"/>
    <w:uiPriority w:val="0"/>
    <w:qFormat/>
    <w:pPr>
      <w:numPr>
        <w:ilvl w:val="1"/>
        <w:numId w:val="2"/>
      </w:numPr>
      <w:spacing w:lineRule="auto" w:line="276" w:before="120" w:after="120"/>
      <w:ind w:hanging="0" w:left="0"/>
      <w:jc w:val="both"/>
    </w:pPr>
    <w:rPr>
      <w:rFonts w:ascii="Arial" w:hAnsi="Arial" w:cs="Arial"/>
      <w:color w:val="000000"/>
      <w:sz w:val="20"/>
      <w:szCs w:val="20"/>
    </w:rPr>
  </w:style>
  <w:style w:type="paragraph" w:styleId="Nivel11" w:customStyle="1">
    <w:name w:val="Nivel 1"/>
    <w:basedOn w:val="Nivel2"/>
    <w:next w:val="Nivel2"/>
    <w:uiPriority w:val="0"/>
    <w:qFormat/>
    <w:pPr>
      <w:numPr>
        <w:ilvl w:val="0"/>
        <w:numId w:val="0"/>
      </w:numPr>
      <w:ind w:hanging="360" w:left="360"/>
    </w:pPr>
    <w:rPr>
      <w:b/>
    </w:rPr>
  </w:style>
  <w:style w:type="paragraph" w:styleId="Nivel3" w:customStyle="1">
    <w:name w:val="Nivel 3"/>
    <w:basedOn w:val="Normal"/>
    <w:link w:val="Nivel3Char"/>
    <w:uiPriority w:val="0"/>
    <w:qFormat/>
    <w:pPr>
      <w:numPr>
        <w:ilvl w:val="2"/>
        <w:numId w:val="2"/>
      </w:numPr>
      <w:spacing w:lineRule="auto" w:line="276" w:before="120" w:after="120"/>
      <w:ind w:hanging="0" w:left="425"/>
      <w:jc w:val="both"/>
    </w:pPr>
    <w:rPr>
      <w:rFonts w:ascii="Arial" w:hAnsi="Arial" w:cs="Arial"/>
      <w:color w:val="000000"/>
      <w:sz w:val="20"/>
      <w:szCs w:val="20"/>
    </w:rPr>
  </w:style>
  <w:style w:type="paragraph" w:styleId="Nivel4" w:customStyle="1">
    <w:name w:val="Nivel 4"/>
    <w:basedOn w:val="Nivel3"/>
    <w:link w:val="Nivel4Char"/>
    <w:uiPriority w:val="0"/>
    <w:qFormat/>
    <w:pPr>
      <w:ind w:hanging="0" w:left="851"/>
    </w:pPr>
    <w:rPr>
      <w:color w:val="auto"/>
    </w:rPr>
  </w:style>
  <w:style w:type="paragraph" w:styleId="Nivel5" w:customStyle="1">
    <w:name w:val="Nivel 5"/>
    <w:basedOn w:val="Nivel4"/>
    <w:uiPriority w:val="0"/>
    <w:qFormat/>
    <w:pPr>
      <w:ind w:hanging="0" w:left="1276"/>
    </w:pPr>
    <w:rPr/>
  </w:style>
  <w:style w:type="paragraph" w:styleId="Textbody" w:customStyle="1">
    <w:name w:val="textbody"/>
    <w:basedOn w:val="Normal"/>
    <w:uiPriority w:val="0"/>
    <w:qFormat/>
    <w:pPr>
      <w:spacing w:beforeAutospacing="1" w:afterAutospacing="1"/>
    </w:pPr>
    <w:rPr>
      <w:rFonts w:ascii="Times New Roman" w:hAnsi="Times New Roman" w:eastAsia="Times New Roman" w:cs="Times New Roman"/>
    </w:rPr>
  </w:style>
  <w:style w:type="paragraph" w:styleId="Em0020ementa" w:customStyle="1">
    <w:name w:val="em_0020ementa"/>
    <w:basedOn w:val="Normal"/>
    <w:uiPriority w:val="0"/>
    <w:qFormat/>
    <w:pPr>
      <w:ind w:left="4160"/>
      <w:jc w:val="both"/>
    </w:pPr>
    <w:rPr>
      <w:rFonts w:ascii="Times New Roman" w:hAnsi="Times New Roman" w:eastAsia="Times New Roman" w:cs="Times New Roman"/>
      <w:sz w:val="28"/>
      <w:szCs w:val="28"/>
    </w:rPr>
  </w:style>
  <w:style w:type="paragraph" w:styleId="Reviso1" w:customStyle="1">
    <w:name w:val="Revisão1"/>
    <w:uiPriority w:val="99"/>
    <w:semiHidden/>
    <w:qFormat/>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exto1" w:customStyle="1">
    <w:name w:val="texto1"/>
    <w:basedOn w:val="Normal"/>
    <w:uiPriority w:val="0"/>
    <w:qFormat/>
    <w:pPr>
      <w:spacing w:beforeAutospacing="1" w:afterAutospacing="1"/>
    </w:pPr>
    <w:rPr>
      <w:rFonts w:ascii="Times New Roman" w:hAnsi="Times New Roman" w:eastAsia="Times New Roman" w:cs="Times New Roman"/>
    </w:rPr>
  </w:style>
  <w:style w:type="paragraph" w:styleId="GradeColorida-nfase11" w:customStyle="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cs="Times New Roman"/>
      <w:i/>
      <w:iCs/>
      <w:color w:val="000000"/>
      <w:sz w:val="20"/>
      <w:lang w:eastAsia="en-US"/>
    </w:rPr>
  </w:style>
  <w:style w:type="paragraph" w:styleId="Xwestern" w:customStyle="1">
    <w:name w:val="x_western"/>
    <w:basedOn w:val="Normal"/>
    <w:uiPriority w:val="0"/>
    <w:qFormat/>
    <w:pPr>
      <w:spacing w:beforeAutospacing="1" w:afterAutospacing="1"/>
    </w:pPr>
    <w:rPr>
      <w:rFonts w:ascii="Times New Roman" w:hAnsi="Times New Roman" w:eastAsia="Times New Roman" w:cs="Times New Roman"/>
    </w:rPr>
  </w:style>
  <w:style w:type="paragraph" w:styleId="TCU-Ac-item9-0" w:customStyle="1">
    <w:name w:val="TCU - Ac - item 9 - §§_0"/>
    <w:basedOn w:val="Normal"/>
    <w:uiPriority w:val="0"/>
    <w:qFormat/>
    <w:pPr>
      <w:ind w:firstLine="1134"/>
      <w:jc w:val="both"/>
    </w:pPr>
    <w:rPr>
      <w:rFonts w:ascii="Times New Roman" w:hAnsi="Times New Roman" w:eastAsia="Times New Roman" w:cs="Times New Roman"/>
      <w:szCs w:val="22"/>
      <w:lang w:eastAsia="en-US"/>
    </w:rPr>
  </w:style>
  <w:style w:type="paragraph" w:styleId="Normal1" w:customStyle="1">
    <w:name w:val="Normal_1"/>
    <w:uiPriority w:val="0"/>
    <w:qFormat/>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uiPriority w:val="0"/>
    <w:qFormat/>
    <w:pPr>
      <w:spacing w:beforeAutospacing="1" w:afterAutospacing="1"/>
    </w:pPr>
    <w:rPr>
      <w:rFonts w:ascii="Times New Roman" w:hAnsi="Times New Roman" w:eastAsia="Times New Roman" w:cs="Times New Roman"/>
    </w:rPr>
  </w:style>
  <w:style w:type="paragraph" w:styleId="Textojustificadorecuoprimeiralinha" w:customStyle="1">
    <w:name w:val="texto_justificado_recuo_primeira_linha"/>
    <w:basedOn w:val="Normal"/>
    <w:uiPriority w:val="0"/>
    <w:qFormat/>
    <w:pPr>
      <w:spacing w:beforeAutospacing="1" w:afterAutospacing="1"/>
    </w:pPr>
    <w:rPr>
      <w:rFonts w:ascii="Times New Roman" w:hAnsi="Times New Roman" w:eastAsia="Times New Roman" w:cs="Times New Roman"/>
    </w:rPr>
  </w:style>
  <w:style w:type="paragraph" w:styleId="Textojustificado" w:customStyle="1">
    <w:name w:val="texto_justificado"/>
    <w:basedOn w:val="Normal"/>
    <w:uiPriority w:val="0"/>
    <w:qFormat/>
    <w:pPr>
      <w:spacing w:beforeAutospacing="1" w:afterAutospacing="1"/>
    </w:pPr>
    <w:rPr>
      <w:rFonts w:ascii="Times New Roman" w:hAnsi="Times New Roman" w:eastAsia="Times New Roman" w:cs="Times New Roman"/>
    </w:rPr>
  </w:style>
  <w:style w:type="paragraph" w:styleId="Nvel2Opcional" w:customStyle="1">
    <w:name w:val="Nível 2 Opcional"/>
    <w:basedOn w:val="Nivel2"/>
    <w:link w:val="Nvel2OpcionalChar"/>
    <w:uiPriority w:val="0"/>
    <w:qFormat/>
    <w:pPr>
      <w:numPr>
        <w:ilvl w:val="0"/>
        <w:numId w:val="0"/>
      </w:numPr>
      <w:ind w:hanging="432" w:left="432"/>
    </w:pPr>
    <w:rPr>
      <w:rFonts w:eastAsia="Times New Roman"/>
      <w:i/>
      <w:color w:val="FF0000"/>
    </w:rPr>
  </w:style>
  <w:style w:type="paragraph" w:styleId="Nvel3Opcional" w:customStyle="1">
    <w:name w:val="Nível 3 Opcional"/>
    <w:basedOn w:val="Nivel3"/>
    <w:link w:val="Nvel3OpcionalChar"/>
    <w:uiPriority w:val="0"/>
    <w:qFormat/>
    <w:pPr>
      <w:numPr>
        <w:ilvl w:val="0"/>
        <w:numId w:val="0"/>
      </w:numPr>
      <w:ind w:hanging="504" w:left="1072"/>
    </w:pPr>
    <w:rPr>
      <w:rFonts w:eastAsia="Times New Roman"/>
      <w:i/>
      <w:iCs/>
      <w:color w:val="FF0000"/>
    </w:rPr>
  </w:style>
  <w:style w:type="paragraph" w:styleId="SombreamentoMdio1-nfase31" w:customStyle="1">
    <w:name w:val="Sombreamento Médio 1 - Ênfase 31"/>
    <w:basedOn w:val="Normal"/>
    <w:next w:val="Normal"/>
    <w:uiPriority w:val="0"/>
    <w:qFormat/>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eastAsia="Calibri"/>
      <w:i/>
      <w:iCs/>
      <w:color w:val="000000"/>
      <w:sz w:val="20"/>
      <w:lang w:eastAsia="zh-CN"/>
    </w:rPr>
  </w:style>
  <w:style w:type="paragraph" w:styleId="Corpo" w:customStyle="1">
    <w:name w:val="corpo"/>
    <w:basedOn w:val="Normal"/>
    <w:uiPriority w:val="0"/>
    <w:qFormat/>
    <w:pPr>
      <w:spacing w:beforeAutospacing="1" w:afterAutospacing="1"/>
    </w:pPr>
    <w:rPr>
      <w:rFonts w:ascii="Times New Roman" w:hAnsi="Times New Roman" w:eastAsia="Times New Roman" w:cs="Times New Roman"/>
    </w:rPr>
  </w:style>
  <w:style w:type="paragraph" w:styleId="Itemnivel2" w:customStyle="1">
    <w:name w:val="item_nivel2"/>
    <w:basedOn w:val="Normal"/>
    <w:uiPriority w:val="0"/>
    <w:qFormat/>
    <w:pPr>
      <w:spacing w:beforeAutospacing="1" w:afterAutospacing="1"/>
    </w:pPr>
    <w:rPr>
      <w:rFonts w:ascii="Times New Roman" w:hAnsi="Times New Roman" w:eastAsia="Times New Roman" w:cs="Times New Roman"/>
    </w:rPr>
  </w:style>
  <w:style w:type="paragraph" w:styleId="Itemnivel1" w:customStyle="1">
    <w:name w:val="item_nivel1"/>
    <w:basedOn w:val="Normal"/>
    <w:uiPriority w:val="0"/>
    <w:qFormat/>
    <w:pPr>
      <w:spacing w:beforeAutospacing="1" w:afterAutospacing="1"/>
    </w:pPr>
    <w:rPr>
      <w:rFonts w:ascii="Times New Roman" w:hAnsi="Times New Roman" w:eastAsia="Times New Roman" w:cs="Times New Roman"/>
    </w:rPr>
  </w:style>
  <w:style w:type="paragraph" w:styleId="Itemalinealetra" w:customStyle="1">
    <w:name w:val="item_alinea_letra"/>
    <w:basedOn w:val="Normal"/>
    <w:uiPriority w:val="0"/>
    <w:qFormat/>
    <w:pPr>
      <w:spacing w:beforeAutospacing="1" w:afterAutospacing="1"/>
    </w:pPr>
    <w:rPr>
      <w:rFonts w:ascii="Times New Roman" w:hAnsi="Times New Roman" w:eastAsia="Times New Roman" w:cs="Times New Roman"/>
    </w:rPr>
  </w:style>
  <w:style w:type="paragraph" w:styleId="Standard" w:customStyle="1">
    <w:name w:val="Standard"/>
    <w:uiPriority w:val="0"/>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extbody1" w:customStyle="1">
    <w:name w:val="Text body"/>
    <w:basedOn w:val="Standard"/>
    <w:uiPriority w:val="0"/>
    <w:qFormat/>
    <w:pPr>
      <w:spacing w:lineRule="auto" w:line="276" w:before="0" w:after="140"/>
    </w:pPr>
    <w:rPr/>
  </w:style>
  <w:style w:type="paragraph" w:styleId="Ou" w:customStyle="1">
    <w:name w:val="ou"/>
    <w:basedOn w:val="ListParagraph"/>
    <w:link w:val="OuChar"/>
    <w:uiPriority w:val="0"/>
    <w:qFormat/>
    <w:pPr>
      <w:spacing w:lineRule="auto" w:line="259" w:before="60" w:after="60"/>
      <w:ind w:left="0"/>
      <w:contextualSpacing w:val="false"/>
      <w:jc w:val="center"/>
    </w:pPr>
    <w:rPr>
      <w:rFonts w:ascii="Arial" w:hAnsi="Arial" w:eastAsia="Cambria" w:cs="Arial" w:eastAsiaTheme="minorHAnsi"/>
      <w:b/>
      <w:bCs/>
      <w:i/>
      <w:iCs/>
      <w:color w:val="FF0000"/>
      <w:u w:val="single"/>
    </w:rPr>
  </w:style>
  <w:style w:type="paragraph" w:styleId="Dou-paragraph" w:customStyle="1">
    <w:name w:val="dou-paragraph"/>
    <w:basedOn w:val="Normal"/>
    <w:uiPriority w:val="0"/>
    <w:qFormat/>
    <w:pPr>
      <w:spacing w:beforeAutospacing="1" w:afterAutospacing="1"/>
    </w:pPr>
    <w:rPr>
      <w:rFonts w:ascii="Times New Roman" w:hAnsi="Times New Roman" w:eastAsia="Times New Roman" w:cs="Times New Roman"/>
    </w:rPr>
  </w:style>
  <w:style w:type="paragraph" w:styleId="Nvel2-Red" w:customStyle="1">
    <w:name w:val="Nível 2 -Red"/>
    <w:basedOn w:val="Nivel2"/>
    <w:link w:val="Nvel2-RedChar"/>
    <w:uiPriority w:val="0"/>
    <w:qFormat/>
    <w:pPr/>
    <w:rPr>
      <w:i/>
      <w:iCs/>
      <w:color w:val="FF0000"/>
    </w:rPr>
  </w:style>
  <w:style w:type="paragraph" w:styleId="Nvel3-R" w:customStyle="1">
    <w:name w:val="Nível 3-R"/>
    <w:basedOn w:val="Nivel3"/>
    <w:link w:val="Nvel3-RChar"/>
    <w:uiPriority w:val="0"/>
    <w:qFormat/>
    <w:pPr/>
    <w:rPr>
      <w:i/>
      <w:iCs/>
      <w:color w:val="FF0000"/>
    </w:rPr>
  </w:style>
  <w:style w:type="paragraph" w:styleId="Nvel4-R" w:customStyle="1">
    <w:name w:val="Nível 4-R"/>
    <w:basedOn w:val="Nivel4"/>
    <w:link w:val="Nvel4-RChar"/>
    <w:uiPriority w:val="0"/>
    <w:qFormat/>
    <w:pPr>
      <w:ind w:hanging="648" w:left="2491"/>
    </w:pPr>
    <w:rPr>
      <w:i/>
      <w:iCs/>
      <w:color w:val="FF0000"/>
    </w:rPr>
  </w:style>
  <w:style w:type="paragraph" w:styleId="Nvel1-SemNum" w:customStyle="1">
    <w:name w:val="Nível 1-Sem Num"/>
    <w:basedOn w:val="Nivel01"/>
    <w:link w:val="Nvel1-SemNumChar"/>
    <w:uiPriority w:val="0"/>
    <w:qFormat/>
    <w:pPr>
      <w:numPr>
        <w:ilvl w:val="0"/>
        <w:numId w:val="0"/>
      </w:numPr>
      <w:ind w:left="357"/>
      <w:outlineLvl w:val="1"/>
    </w:pPr>
    <w:rPr>
      <w:color w:themeColor="accent1" w:themeShade="bf" w:val="FF0000"/>
    </w:rPr>
  </w:style>
  <w:style w:type="paragraph" w:styleId="Citao2" w:customStyle="1">
    <w:name w:val="citação 2"/>
    <w:basedOn w:val="Quote"/>
    <w:uiPriority w:val="0"/>
    <w:qFormat/>
    <w:pPr>
      <w:overflowPunct w:val="false"/>
    </w:pPr>
    <w:rPr>
      <w:szCs w:val="20"/>
    </w:rPr>
  </w:style>
  <w:style w:type="paragraph" w:styleId="Prembulo" w:customStyle="1">
    <w:name w:val="Preâmbulo"/>
    <w:basedOn w:val="Normal"/>
    <w:link w:val="PrembuloChar"/>
    <w:uiPriority w:val="0"/>
    <w:qFormat/>
    <w:pPr>
      <w:spacing w:lineRule="auto" w:line="360" w:before="480" w:after="120"/>
      <w:ind w:left="4253" w:right="-17"/>
      <w:jc w:val="both"/>
    </w:pPr>
    <w:rPr>
      <w:rFonts w:ascii="Arial" w:hAnsi="Arial" w:eastAsia="Arial" w:cs="Arial"/>
      <w:bCs/>
      <w:sz w:val="20"/>
      <w:szCs w:val="20"/>
    </w:rPr>
  </w:style>
  <w:style w:type="table" w:default="1" w:styleId="8">
    <w:name w:val="Normal Table"/>
    <w:uiPriority w:val="99"/>
    <w:semiHidden/>
    <w:unhideWhenUsed/>
    <w:qFormat/>
    <w:tblPr>
      <w:tblCellMar>
        <w:top w:w="0" w:type="dxa"/>
        <w:left w:w="108" w:type="dxa"/>
        <w:bottom w:w="0" w:type="dxa"/>
        <w:right w:w="108" w:type="dxa"/>
      </w:tblCellMar>
    </w:tblPr>
  </w:style>
  <w:style w:type="table" w:styleId="23">
    <w:name w:val="Table Grid"/>
    <w:basedOn w:val="8"/>
    <w:uiPriority w:val="3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lanalto.gov.br/ccivil_03/leis/lcp/lcp123.htm" TargetMode="External"/><Relationship Id="rId3" Type="http://schemas.openxmlformats.org/officeDocument/2006/relationships/hyperlink" Target="https://www.gov.br/empresas-e-negocios/pt-br/empreendedor"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Relationship Id="rId14" Type="http://schemas.openxmlformats.org/officeDocument/2006/relationships/customXml" Target="../customXml/item6.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721B5-2FFD-4B32-891F-8DD51FBA0B54}">
  <ds:schemaRefs/>
</ds:datastoreItem>
</file>

<file path=customXml/itemProps2.xml><?xml version="1.0" encoding="utf-8"?>
<ds:datastoreItem xmlns:ds="http://schemas.openxmlformats.org/officeDocument/2006/customXml" ds:itemID="{2B11408A-6D5C-4CA6-95AE-BDB1C00B1E4C}">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CBD3A4D-46FC-4C9D-A646-0B0B22B0418A}">
  <ds:schemaRefs/>
</ds:datastoreItem>
</file>

<file path=customXml/itemProps6.xml><?xml version="1.0" encoding="utf-8"?>
<ds:datastoreItem xmlns:ds="http://schemas.openxmlformats.org/officeDocument/2006/customXml" ds:itemID="{7C541C99-BA1C-408F-8BE9-FD886FF1D685}">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59</TotalTime>
  <Application>LibreOffice/7.6.5.2$Windows_X86_64 LibreOffice_project/38d5f62f85355c192ef5f1dd47c5c0c0c6d6598b</Application>
  <AppVersion>15.0000</AppVersion>
  <DocSecurity>8</DocSecurity>
  <Pages>14</Pages>
  <Words>3286</Words>
  <Characters>18808</Characters>
  <CharactersWithSpaces>21841</CharactersWithSpaces>
  <Paragraphs>204</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2023-04-10T11:06:00Z</dcterms:created>
  <dc:creator>Manoel Paz</dc:creator>
  <dc:description/>
  <dc:language>pt-BR</dc:language>
  <cp:lastModifiedBy/>
  <cp:lastPrinted>2024-03-11T18:06:42Z</cp:lastPrinted>
  <dcterms:modified xsi:type="dcterms:W3CDTF">2024-03-11T18:06:49Z</dcterms:modified>
  <cp:revision>10</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ICV">
    <vt:lpwstr>21BEA48EF4D34C0CB215AD025AC7C733_13</vt:lpwstr>
  </property>
  <property fmtid="{D5CDD505-2E9C-101B-9397-08002B2CF9AE}" pid="4" name="KSOProductBuildVer">
    <vt:lpwstr>1046-11.2.0.10265</vt:lpwstr>
  </property>
  <property fmtid="{D5CDD505-2E9C-101B-9397-08002B2CF9AE}" pid="5" name="MediaServiceImageTags">
    <vt:lpwstr/>
  </property>
</Properties>
</file>