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Times New Roman" w:cs="Arial"/>
          <w:b/>
          <w:iCs/>
          <w:lang w:val="pt-BR"/>
        </w:rPr>
      </w:pPr>
      <w:bookmarkStart w:id="0" w:name="_Hlk82471863"/>
      <w:r>
        <w:rPr>
          <w:rFonts w:ascii="Arial" w:hAnsi="Arial" w:eastAsia="Times New Roman" w:cs="Arial"/>
          <w:b/>
          <w:iCs/>
        </w:rPr>
        <w:t>TERMO DE REFERÊNCIA</w:t>
      </w:r>
      <w:r>
        <w:rPr>
          <w:rFonts w:hint="default" w:ascii="Arial" w:hAnsi="Arial" w:eastAsia="Times New Roman" w:cs="Arial"/>
          <w:b/>
          <w:iCs/>
          <w:lang w:val="pt-BR"/>
        </w:rPr>
        <w:t xml:space="preserve"> Nº 22</w:t>
      </w:r>
    </w:p>
    <w:p>
      <w:pPr>
        <w:jc w:val="center"/>
        <w:rPr>
          <w:rFonts w:ascii="Arial" w:hAnsi="Arial" w:eastAsia="Times New Roman" w:cs="Arial"/>
          <w:b/>
          <w:iCs/>
        </w:rPr>
      </w:pPr>
      <w:r>
        <w:rPr>
          <w:rFonts w:ascii="Arial" w:hAnsi="Arial" w:eastAsia="Times New Roman" w:cs="Arial"/>
          <w:b/>
          <w:iCs/>
          <w:highlight w:val="yellow"/>
        </w:rPr>
        <w:t>Serviços comuns e ou especiais e aquisições</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firstLine="709"/>
        <w:rPr>
          <w:b/>
          <w:bCs/>
          <w:sz w:val="24"/>
          <w:szCs w:val="24"/>
        </w:rPr>
      </w:pPr>
      <w:r>
        <w:rPr>
          <w:rFonts w:hint="default"/>
          <w:sz w:val="24"/>
          <w:szCs w:val="24"/>
          <w:highlight w:val="yellow"/>
          <w:lang w:val="pt-BR"/>
        </w:rPr>
        <w:t>A</w:t>
      </w:r>
      <w:r>
        <w:rPr>
          <w:rFonts w:hint="default"/>
          <w:sz w:val="24"/>
          <w:szCs w:val="24"/>
          <w:highlight w:val="yellow"/>
        </w:rPr>
        <w:t>quisição de materiais de papelaria</w:t>
      </w:r>
      <w:r>
        <w:rPr>
          <w:rFonts w:hint="default"/>
          <w:sz w:val="24"/>
          <w:szCs w:val="24"/>
          <w:highlight w:val="yellow"/>
          <w:lang w:val="pt-BR"/>
        </w:rPr>
        <w:t xml:space="preserve"> tipo papel Sulfite, papel colorido e TNT, </w:t>
      </w:r>
      <w:r>
        <w:rPr>
          <w:rFonts w:hint="default"/>
          <w:sz w:val="24"/>
          <w:szCs w:val="24"/>
          <w:highlight w:val="yellow"/>
        </w:rPr>
        <w:t xml:space="preserve"> para atender demanda de diversos setores e secretarias</w:t>
      </w:r>
      <w:r>
        <w:rPr>
          <w:b/>
          <w:bCs/>
          <w:sz w:val="24"/>
          <w:szCs w:val="24"/>
          <w:highlight w:val="yellow"/>
        </w:rPr>
        <w:t>,</w:t>
      </w:r>
      <w:r>
        <w:rPr>
          <w:sz w:val="24"/>
          <w:szCs w:val="24"/>
        </w:rPr>
        <w:t xml:space="preserve"> nos termos da tabela abaixo, conforme condições e exigências estabelecidas neste instrumento.</w:t>
      </w:r>
    </w:p>
    <w:tbl>
      <w:tblPr>
        <w:tblStyle w:val="8"/>
        <w:tblW w:w="9115" w:type="dxa"/>
        <w:tblInd w:w="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3254"/>
        <w:gridCol w:w="1211"/>
        <w:gridCol w:w="1062"/>
        <w:gridCol w:w="1292"/>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trPr>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color w:val="000000" w:themeColor="text1"/>
                <w:sz w:val="20"/>
                <w:szCs w:val="20"/>
              </w:rPr>
            </w:pPr>
          </w:p>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color w:val="000000" w:themeColor="text1"/>
                <w:sz w:val="20"/>
                <w:szCs w:val="20"/>
              </w:rPr>
            </w:pPr>
          </w:p>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rPr>
              <w:t>ITEM</w:t>
            </w:r>
          </w:p>
          <w:p>
            <w:pPr>
              <w:keepNext w:val="0"/>
              <w:keepLines w:val="0"/>
              <w:pageBreakBefore w:val="0"/>
              <w:widowControl w:val="0"/>
              <w:suppressAutoHyphens/>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b/>
                <w:bCs/>
                <w:color w:val="000000"/>
                <w:sz w:val="20"/>
                <w:szCs w:val="20"/>
                <w:lang w:val="pt-BR" w:eastAsia="en-US" w:bidi="ar-SA"/>
              </w:rPr>
            </w:pP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rPr>
              <w:t>ESPECIFICAÇÃO</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rPr>
              <w:t>UNIDADE DE MEDIDA</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sz w:val="20"/>
                <w:szCs w:val="20"/>
                <w:lang w:val="pt-BR"/>
              </w:rPr>
            </w:pPr>
            <w:r>
              <w:rPr>
                <w:rFonts w:hint="default" w:ascii="Arial" w:hAnsi="Arial" w:eastAsia="Arial" w:cs="Arial"/>
                <w:b/>
                <w:bCs/>
                <w:sz w:val="20"/>
                <w:szCs w:val="20"/>
              </w:rPr>
              <w:t>QUANT</w:t>
            </w:r>
            <w:r>
              <w:rPr>
                <w:rFonts w:hint="default" w:ascii="Arial" w:hAnsi="Arial" w:eastAsia="Arial" w:cs="Arial"/>
                <w:b/>
                <w:bCs/>
                <w:sz w:val="20"/>
                <w:szCs w:val="20"/>
                <w:lang w:val="pt-BR"/>
              </w:rPr>
              <w:t>.</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sz w:val="20"/>
                <w:szCs w:val="20"/>
              </w:rPr>
            </w:pPr>
            <w:r>
              <w:rPr>
                <w:rFonts w:hint="default" w:ascii="Arial" w:hAnsi="Arial" w:eastAsia="Arial" w:cs="Arial"/>
                <w:b/>
                <w:bCs/>
                <w:sz w:val="20"/>
                <w:szCs w:val="20"/>
              </w:rPr>
              <w:t>VALOR UNITÁRIO</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right="0" w:rightChars="0"/>
              <w:jc w:val="center"/>
              <w:textAlignment w:val="auto"/>
              <w:rPr>
                <w:rFonts w:hint="default" w:ascii="Arial" w:hAnsi="Arial" w:eastAsia="Arial" w:cs="Arial"/>
                <w:b/>
                <w:bCs/>
                <w:sz w:val="20"/>
                <w:szCs w:val="20"/>
              </w:rPr>
            </w:pPr>
            <w:r>
              <w:rPr>
                <w:rFonts w:hint="default" w:ascii="Arial" w:hAnsi="Arial" w:eastAsia="Arial" w:cs="Arial"/>
                <w:b/>
                <w:bCs/>
                <w:sz w:val="20"/>
                <w:szCs w:val="20"/>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20"/>
                <w:szCs w:val="20"/>
                <w:lang w:val="pt-BR" w:eastAsia="en-US" w:bidi="ar-SA"/>
              </w:rPr>
            </w:pPr>
            <w:r>
              <w:rPr>
                <w:rFonts w:hint="default" w:ascii="Arial" w:hAnsi="Arial" w:eastAsia="Arial" w:cs="Arial"/>
                <w:b/>
                <w:bCs/>
                <w:color w:val="000000" w:themeColor="text1"/>
                <w:sz w:val="20"/>
                <w:szCs w:val="20"/>
              </w:rPr>
              <w:t>1</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color w:val="000000"/>
                <w:sz w:val="20"/>
                <w:szCs w:val="20"/>
                <w:lang w:val="pt-BR" w:eastAsia="en-US" w:bidi="ar-SA"/>
              </w:rPr>
            </w:pPr>
            <w:r>
              <w:rPr>
                <w:rFonts w:hint="default" w:ascii="Arial" w:hAnsi="Arial" w:eastAsia="SimSun" w:cs="Arial"/>
                <w:sz w:val="20"/>
                <w:szCs w:val="20"/>
              </w:rPr>
              <w:t>Papel Sulfite A2 – 216x330mm Gramatura 75 g/m², pacote com 500 fls - na cor branca.</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en-US"/>
              </w:rPr>
            </w:pPr>
            <w:r>
              <w:rPr>
                <w:rFonts w:hint="default" w:ascii="Arial" w:hAnsi="Arial" w:eastAsia="Times New Roman" w:cs="Arial"/>
                <w:sz w:val="20"/>
                <w:szCs w:val="20"/>
                <w:lang w:val="en-US" w:eastAsia="pt-BR" w:bidi="ar-SA"/>
              </w:rPr>
              <w:t>Pct. 500 folhas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50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R$34,00</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R$1.700,00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2</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pt-BR" w:eastAsia="en-US" w:bidi="ar-SA"/>
              </w:rPr>
            </w:pPr>
            <w:r>
              <w:rPr>
                <w:rFonts w:hint="default" w:ascii="Arial" w:hAnsi="Arial" w:eastAsia="SimSun" w:cs="Arial"/>
                <w:sz w:val="20"/>
                <w:szCs w:val="20"/>
              </w:rPr>
              <w:t>Papel Sulfite A3 – 297x420mm Gramatura 75 g/m², pacote com 500 fls - na cor branca.</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pt-BR"/>
              </w:rPr>
            </w:pPr>
            <w:r>
              <w:rPr>
                <w:rFonts w:hint="default" w:ascii="Arial" w:hAnsi="Arial" w:eastAsia="Times New Roman" w:cs="Arial"/>
                <w:sz w:val="20"/>
                <w:szCs w:val="20"/>
                <w:lang w:val="en-US" w:eastAsia="pt-BR" w:bidi="ar-SA"/>
              </w:rPr>
              <w:t>Pct. 500 folhas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300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R$76,55</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R$22.965,00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3</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pt-BR" w:eastAsia="en-US" w:bidi="ar-SA"/>
              </w:rPr>
            </w:pPr>
            <w:r>
              <w:rPr>
                <w:rFonts w:hint="default" w:ascii="Arial" w:hAnsi="Arial" w:eastAsia="SimSun" w:cs="Arial"/>
                <w:sz w:val="20"/>
                <w:szCs w:val="20"/>
              </w:rPr>
              <w:t xml:space="preserve">Papel Sulfite A4 – 210x297mm Gramatura 75 g/m², </w:t>
            </w:r>
            <w:r>
              <w:rPr>
                <w:rFonts w:hint="default" w:ascii="Arial" w:hAnsi="Arial" w:eastAsia="SimSun" w:cs="Arial"/>
                <w:sz w:val="20"/>
                <w:szCs w:val="20"/>
                <w:lang w:val="pt-BR"/>
              </w:rPr>
              <w:t>pacote</w:t>
            </w:r>
            <w:r>
              <w:rPr>
                <w:rFonts w:hint="default" w:ascii="Arial" w:hAnsi="Arial" w:eastAsia="SimSun" w:cs="Arial"/>
                <w:sz w:val="20"/>
                <w:szCs w:val="20"/>
              </w:rPr>
              <w:t xml:space="preserve"> 500 fls - na cor branca.</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pt-BR"/>
              </w:rPr>
            </w:pPr>
            <w:r>
              <w:rPr>
                <w:rFonts w:hint="default" w:ascii="Arial" w:hAnsi="Arial" w:eastAsia="Times New Roman" w:cs="Arial"/>
                <w:sz w:val="20"/>
                <w:szCs w:val="20"/>
                <w:lang w:val="en-US" w:eastAsia="pt-BR" w:bidi="ar-SA"/>
              </w:rPr>
              <w:t>Pct. 500 folhas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17.000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R$34,03</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R$578.510,00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4</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pt-BR" w:eastAsia="en-US" w:bidi="ar-SA"/>
              </w:rPr>
            </w:pPr>
            <w:r>
              <w:rPr>
                <w:rFonts w:hint="default" w:ascii="Arial" w:hAnsi="Arial" w:eastAsia="Times New Roman" w:cs="Arial"/>
                <w:sz w:val="20"/>
                <w:szCs w:val="20"/>
                <w:lang w:val="en-US" w:eastAsia="pt-BR" w:bidi="ar-SA"/>
              </w:rPr>
              <w:t>Papel Fotográfico Brilhante 180grs - A3  - Pct com 100 folhas.</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pt-BR"/>
              </w:rPr>
            </w:pPr>
            <w:r>
              <w:rPr>
                <w:rFonts w:hint="default" w:ascii="Arial" w:hAnsi="Arial" w:eastAsia="Times New Roman" w:cs="Arial"/>
                <w:sz w:val="20"/>
                <w:szCs w:val="20"/>
                <w:lang w:val="en-US" w:eastAsia="pt-BR" w:bidi="ar-SA"/>
              </w:rPr>
              <w:t>Pct. 100 folhas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500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R$75,90</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R$37.950,00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5</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pt-BR" w:eastAsia="en-US" w:bidi="ar-SA"/>
              </w:rPr>
            </w:pPr>
            <w:r>
              <w:rPr>
                <w:rFonts w:hint="default" w:ascii="Arial" w:hAnsi="Arial" w:eastAsia="Times New Roman" w:cs="Arial"/>
                <w:sz w:val="20"/>
                <w:szCs w:val="20"/>
                <w:lang w:val="en-US" w:eastAsia="pt-BR" w:bidi="ar-SA"/>
              </w:rPr>
              <w:t>Papel Fotográfico Fosco 180grs - A3  - Pct com 50 folhas.</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en-US"/>
              </w:rPr>
            </w:pPr>
            <w:r>
              <w:rPr>
                <w:rFonts w:hint="default" w:ascii="Arial" w:hAnsi="Arial" w:eastAsia="Times New Roman" w:cs="Arial"/>
                <w:sz w:val="20"/>
                <w:szCs w:val="20"/>
                <w:lang w:val="en-US" w:eastAsia="pt-BR" w:bidi="ar-SA"/>
              </w:rPr>
              <w:t>Pct. 50 folhas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1.200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R$62,90</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R$75.480,00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6</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pt-BR" w:eastAsia="en-US" w:bidi="ar-SA"/>
              </w:rPr>
            </w:pPr>
            <w:r>
              <w:rPr>
                <w:rFonts w:hint="default" w:ascii="Arial" w:hAnsi="Arial" w:eastAsia="Times New Roman" w:cs="Arial"/>
                <w:sz w:val="20"/>
                <w:szCs w:val="20"/>
                <w:lang w:val="en-US" w:eastAsia="pt-BR" w:bidi="ar-SA"/>
              </w:rPr>
              <w:t>Papel color casca de ovo A4, 180grs - Cores Variadas - Pct. Com 50 folhas.</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pt-BR"/>
              </w:rPr>
            </w:pPr>
            <w:r>
              <w:rPr>
                <w:rFonts w:hint="default" w:ascii="Arial" w:hAnsi="Arial" w:eastAsia="Times New Roman" w:cs="Arial"/>
                <w:sz w:val="20"/>
                <w:szCs w:val="20"/>
                <w:lang w:val="en-US" w:eastAsia="pt-BR" w:bidi="ar-SA"/>
              </w:rPr>
              <w:t>Pct. 50 folhas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600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R$36,38</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R$21.828,00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7</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en-US" w:eastAsia="en-US" w:bidi="ar-SA"/>
              </w:rPr>
            </w:pPr>
            <w:r>
              <w:rPr>
                <w:rFonts w:hint="default" w:ascii="Arial" w:hAnsi="Arial" w:eastAsia="Times New Roman" w:cs="Arial"/>
                <w:sz w:val="20"/>
                <w:szCs w:val="20"/>
                <w:lang w:val="en-US" w:eastAsia="pt-BR" w:bidi="ar-SA"/>
              </w:rPr>
              <w:t>Papel Kraft BRANCO 35g/m² - 60cm x 300m.</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pt-BR"/>
              </w:rPr>
            </w:pPr>
            <w:r>
              <w:rPr>
                <w:rFonts w:hint="default" w:ascii="Arial" w:hAnsi="Arial" w:eastAsia="Times New Roman" w:cs="Arial"/>
                <w:sz w:val="20"/>
                <w:szCs w:val="20"/>
                <w:lang w:val="en-US" w:eastAsia="pt-BR" w:bidi="ar-SA"/>
              </w:rPr>
              <w:t>Rolo com 300 metros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200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R$189,99</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R$37.998,00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8</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en-US" w:eastAsia="en-US" w:bidi="ar-SA"/>
              </w:rPr>
            </w:pPr>
            <w:r>
              <w:rPr>
                <w:rFonts w:hint="default" w:ascii="Arial" w:hAnsi="Arial" w:eastAsia="Times New Roman" w:cs="Arial"/>
                <w:sz w:val="20"/>
                <w:szCs w:val="20"/>
                <w:lang w:val="en-US" w:eastAsia="pt-BR" w:bidi="ar-SA"/>
              </w:rPr>
              <w:t>TNT gramatura 40g Composição: 100% Polipropileno - Cores lisas: Verde, amarelo, vermelho, Azul, Preto e Branco - Demensões: 1,40m x 100m.</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en-US"/>
              </w:rPr>
            </w:pPr>
            <w:r>
              <w:rPr>
                <w:rFonts w:hint="default" w:ascii="Arial" w:hAnsi="Arial" w:eastAsia="Times New Roman" w:cs="Arial"/>
                <w:sz w:val="20"/>
                <w:szCs w:val="20"/>
                <w:lang w:val="en-US" w:eastAsia="pt-BR" w:bidi="ar-SA"/>
              </w:rPr>
              <w:t>Rolo com 100 metros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300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R$182,50</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R$54.750,00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rPr>
            </w:pPr>
            <w:r>
              <w:rPr>
                <w:rFonts w:hint="default" w:ascii="Arial" w:hAnsi="Arial" w:eastAsia="Arial" w:cs="Arial"/>
                <w:b/>
                <w:bCs/>
                <w:color w:val="000000" w:themeColor="text1"/>
                <w:sz w:val="20"/>
                <w:szCs w:val="20"/>
                <w:lang w:val="pt-BR"/>
              </w:rPr>
              <w:t>9</w:t>
            </w:r>
          </w:p>
        </w:tc>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autoSpaceDN/>
              <w:jc w:val="both"/>
              <w:rPr>
                <w:rFonts w:hint="default" w:ascii="Arial" w:hAnsi="Arial" w:cs="Arial" w:eastAsiaTheme="minorEastAsia"/>
                <w:sz w:val="20"/>
                <w:szCs w:val="20"/>
                <w:lang w:val="en-US" w:eastAsia="en-US" w:bidi="ar-SA"/>
              </w:rPr>
            </w:pPr>
            <w:r>
              <w:rPr>
                <w:rFonts w:hint="default" w:ascii="Arial" w:hAnsi="Arial" w:eastAsia="Times New Roman" w:cs="Arial"/>
                <w:sz w:val="20"/>
                <w:szCs w:val="20"/>
                <w:lang w:val="en-US" w:eastAsia="pt-BR" w:bidi="ar-SA"/>
              </w:rPr>
              <w:t>TNT gramatura 40g Composição: 100% Polipropileno - Cores lisas: Verde, amarelo, vermelho, Azul, Preto e Branco - Demensões: 1,40m x 100m.</w:t>
            </w:r>
          </w:p>
        </w:tc>
        <w:tc>
          <w:tcPr>
            <w:tcW w:w="12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Arial" w:hAnsi="Arial" w:eastAsia="Arial" w:cs="Arial"/>
                <w:b w:val="0"/>
                <w:bCs w:val="0"/>
                <w:color w:val="000000"/>
                <w:sz w:val="20"/>
                <w:szCs w:val="20"/>
                <w:lang w:val="en-US"/>
              </w:rPr>
            </w:pPr>
            <w:r>
              <w:rPr>
                <w:rFonts w:hint="default" w:ascii="Arial" w:hAnsi="Arial" w:eastAsia="Times New Roman" w:cs="Arial"/>
                <w:sz w:val="20"/>
                <w:szCs w:val="20"/>
                <w:lang w:val="en-US" w:eastAsia="pt-BR" w:bidi="ar-SA"/>
              </w:rPr>
              <w:t>Rolo com  50 metros</w:t>
            </w:r>
          </w:p>
        </w:tc>
        <w:tc>
          <w:tcPr>
            <w:tcW w:w="10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sz w:val="20"/>
                <w:szCs w:val="20"/>
                <w:lang w:val="en-US" w:eastAsia="pt-BR" w:bidi="ar-SA"/>
              </w:rPr>
            </w:pPr>
            <w:r>
              <w:rPr>
                <w:rFonts w:hint="default" w:ascii="Arial" w:hAnsi="Arial" w:eastAsia="Times New Roman" w:cs="Arial"/>
                <w:sz w:val="20"/>
                <w:szCs w:val="20"/>
                <w:lang w:val="en-US" w:eastAsia="pt-BR" w:bidi="ar-SA"/>
              </w:rPr>
              <w:t>300</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R$95,00</w:t>
            </w:r>
          </w:p>
        </w:tc>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rPr>
            </w:pPr>
            <w:r>
              <w:rPr>
                <w:rFonts w:hint="default" w:ascii="Arial" w:hAnsi="Arial" w:eastAsia="Arial" w:cs="Arial"/>
                <w:color w:val="000000"/>
                <w:sz w:val="20"/>
                <w:szCs w:val="20"/>
                <w:lang w:val="en-US" w:eastAsia="pt-BR" w:bidi="ar-SA"/>
              </w:rPr>
              <w:t>R$28.500,00</w:t>
            </w:r>
          </w:p>
        </w:tc>
      </w:tr>
    </w:tbl>
    <w:p>
      <w:pPr>
        <w:pStyle w:val="56"/>
        <w:numPr>
          <w:ilvl w:val="0"/>
          <w:numId w:val="0"/>
        </w:numPr>
        <w:spacing w:after="288" w:afterLines="120" w:line="312" w:lineRule="auto"/>
        <w:rPr>
          <w:sz w:val="24"/>
          <w:szCs w:val="24"/>
        </w:rPr>
      </w:pPr>
    </w:p>
    <w:p>
      <w:pPr>
        <w:pStyle w:val="56"/>
        <w:spacing w:after="288" w:afterLines="120" w:line="312" w:lineRule="auto"/>
        <w:ind w:firstLine="709"/>
        <w:rPr>
          <w:sz w:val="24"/>
          <w:szCs w:val="24"/>
          <w:highlight w:val="yellow"/>
        </w:rPr>
      </w:pPr>
      <w:r>
        <w:rPr>
          <w:sz w:val="24"/>
          <w:szCs w:val="24"/>
          <w:highlight w:val="yellow"/>
        </w:rPr>
        <w:t>O objeto desta contratação não se enquadra como sendo de bem de luxo.</w:t>
      </w:r>
    </w:p>
    <w:p>
      <w:pPr>
        <w:pStyle w:val="56"/>
        <w:spacing w:after="288" w:afterLines="120" w:line="312" w:lineRule="auto"/>
        <w:ind w:firstLine="709"/>
        <w:rPr>
          <w:sz w:val="24"/>
          <w:szCs w:val="24"/>
        </w:rPr>
      </w:pPr>
      <w:r>
        <w:rPr>
          <w:sz w:val="24"/>
          <w:szCs w:val="24"/>
        </w:rPr>
        <w:t>Os bens objeto desta contratação são caracterizados como comuns, conforme justificativa constante do Estudo Técnico Preliminar.</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vigência da contratação é de </w:t>
      </w:r>
      <w:r>
        <w:rPr>
          <w:rFonts w:hint="default"/>
          <w:i w:val="0"/>
          <w:iCs w:val="0"/>
          <w:color w:val="auto"/>
          <w:sz w:val="24"/>
          <w:szCs w:val="24"/>
          <w:highlight w:val="yellow"/>
          <w:lang w:val="pt-BR"/>
        </w:rPr>
        <w:t>12 (doze) meses</w:t>
      </w:r>
      <w:r>
        <w:rPr>
          <w:i w:val="0"/>
          <w:iCs w:val="0"/>
          <w:color w:val="auto"/>
          <w:sz w:val="24"/>
          <w:szCs w:val="24"/>
          <w:highlight w:val="yellow"/>
        </w:rPr>
        <w:t xml:space="preserve"> contados da</w:t>
      </w:r>
      <w:r>
        <w:rPr>
          <w:rFonts w:hint="default"/>
          <w:i w:val="0"/>
          <w:iCs w:val="0"/>
          <w:color w:val="auto"/>
          <w:sz w:val="24"/>
          <w:szCs w:val="24"/>
          <w:highlight w:val="yellow"/>
          <w:lang w:val="pt-BR"/>
        </w:rPr>
        <w:t xml:space="preserve"> assinatura do contrato</w:t>
      </w:r>
      <w:r>
        <w:rPr>
          <w:i w:val="0"/>
          <w:iCs w:val="0"/>
          <w:color w:val="auto"/>
          <w:sz w:val="24"/>
          <w:szCs w:val="24"/>
          <w:highlight w:val="yellow"/>
        </w:rPr>
        <w:t xml:space="preserve"> na forma do artigo 105 da Lei n° 14.133, de 2021.</w:t>
      </w:r>
    </w:p>
    <w:p>
      <w:pPr>
        <w:pStyle w:val="56"/>
        <w:spacing w:after="288"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firstLine="709"/>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firstLine="709"/>
        <w:rPr>
          <w:sz w:val="24"/>
          <w:szCs w:val="24"/>
        </w:rPr>
      </w:pPr>
      <w:r>
        <w:rPr>
          <w:sz w:val="24"/>
          <w:szCs w:val="24"/>
          <w:highlight w:val="yellow"/>
        </w:rPr>
        <w:t xml:space="preserve">O objeto da contratação está previsto no Plano de Contratações Anual  de </w:t>
      </w:r>
      <w:r>
        <w:rPr>
          <w:rFonts w:hint="default"/>
          <w:color w:val="auto"/>
          <w:sz w:val="24"/>
          <w:szCs w:val="24"/>
          <w:highlight w:val="yellow"/>
          <w:lang w:val="pt-BR"/>
        </w:rPr>
        <w:t xml:space="preserve">2024 </w:t>
      </w:r>
      <w:r>
        <w:rPr>
          <w:rFonts w:hint="default" w:ascii="Arial" w:hAnsi="Arial" w:cs="Arial"/>
          <w:i w:val="0"/>
          <w:iCs w:val="0"/>
          <w:color w:val="000000"/>
          <w:sz w:val="24"/>
          <w:szCs w:val="24"/>
          <w:u w:val="none"/>
          <w:shd w:val="clear" w:fill="FFFFFF"/>
          <w:vertAlign w:val="baseline"/>
        </w:rPr>
        <w:t xml:space="preserve">enquadram-se </w:t>
      </w:r>
      <w:r>
        <w:rPr>
          <w:rFonts w:hint="default" w:ascii="Arial" w:hAnsi="Arial" w:cs="Arial"/>
          <w:i w:val="0"/>
          <w:iCs w:val="0"/>
          <w:color w:val="000000"/>
          <w:sz w:val="24"/>
          <w:szCs w:val="24"/>
          <w:u w:val="none"/>
          <w:shd w:val="clear" w:fill="FFFFFF"/>
          <w:vertAlign w:val="baseline"/>
          <w:lang w:val="pt-BR"/>
        </w:rPr>
        <w:t>em</w:t>
      </w:r>
      <w:r>
        <w:rPr>
          <w:rFonts w:hint="default" w:cs="Arial"/>
          <w:i w:val="0"/>
          <w:iCs w:val="0"/>
          <w:color w:val="000000"/>
          <w:sz w:val="24"/>
          <w:szCs w:val="24"/>
          <w:u w:val="none"/>
          <w:shd w:val="clear" w:fill="FFFFFF"/>
          <w:vertAlign w:val="baseline"/>
          <w:lang w:val="pt-BR"/>
        </w:rPr>
        <w:t xml:space="preserve"> Materiais de papelaria e expediente</w:t>
      </w:r>
      <w:r>
        <w:rPr>
          <w:color w:val="auto"/>
          <w:sz w:val="24"/>
          <w:szCs w:val="24"/>
          <w:highlight w:val="yellow"/>
        </w:rPr>
        <w:t>.</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firstLine="709"/>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yellow"/>
        </w:rPr>
      </w:pPr>
      <w:r>
        <w:rPr>
          <w:color w:val="auto"/>
          <w:sz w:val="24"/>
          <w:szCs w:val="24"/>
          <w:highlight w:val="yellow"/>
        </w:rPr>
        <w:t>Subcontratação</w:t>
      </w:r>
    </w:p>
    <w:p>
      <w:pPr>
        <w:pStyle w:val="56"/>
        <w:spacing w:after="288" w:afterLines="120" w:line="312" w:lineRule="auto"/>
        <w:ind w:firstLine="709"/>
        <w:rPr>
          <w:color w:val="auto"/>
          <w:sz w:val="24"/>
          <w:szCs w:val="24"/>
          <w:highlight w:val="yellow"/>
        </w:rPr>
      </w:pPr>
      <w:r>
        <w:rPr>
          <w:color w:val="auto"/>
          <w:sz w:val="24"/>
          <w:szCs w:val="24"/>
          <w:highlight w:val="yellow"/>
        </w:rPr>
        <w:t>Não é admitida a subcontratação do objeto contratual.</w:t>
      </w:r>
    </w:p>
    <w:p>
      <w:pPr>
        <w:pStyle w:val="109"/>
        <w:spacing w:before="120" w:after="288" w:afterLines="120" w:line="312" w:lineRule="auto"/>
        <w:rPr>
          <w:color w:val="auto"/>
          <w:sz w:val="24"/>
          <w:szCs w:val="24"/>
          <w:highlight w:val="yellow"/>
        </w:rPr>
      </w:pPr>
      <w:r>
        <w:rPr>
          <w:color w:val="auto"/>
          <w:sz w:val="24"/>
          <w:szCs w:val="24"/>
          <w:highlight w:val="yellow"/>
        </w:rPr>
        <w:t>Garantia da contratação</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Não haverá exigência da garantia da contratação dos </w:t>
      </w:r>
      <w:r>
        <w:fldChar w:fldCharType="begin"/>
      </w:r>
      <w:r>
        <w:instrText xml:space="preserve"> HYPERLINK "http://www.planalto.gov.br/ccivil_03/_ato2019-2022/2021/lei/L14133.htm" \l "art96" </w:instrText>
      </w:r>
      <w:r>
        <w:fldChar w:fldCharType="separate"/>
      </w:r>
      <w:r>
        <w:rPr>
          <w:rStyle w:val="13"/>
          <w:i w:val="0"/>
          <w:iCs w:val="0"/>
          <w:color w:val="auto"/>
          <w:sz w:val="24"/>
          <w:szCs w:val="24"/>
        </w:rPr>
        <w:t>artigos 96 e seguintes da Lei nº 14.133, de 2021</w:t>
      </w:r>
      <w:r>
        <w:rPr>
          <w:rStyle w:val="13"/>
          <w:i w:val="0"/>
          <w:iCs w:val="0"/>
          <w:color w:val="auto"/>
          <w:sz w:val="24"/>
          <w:szCs w:val="24"/>
        </w:rPr>
        <w:fldChar w:fldCharType="end"/>
      </w:r>
      <w:r>
        <w:rPr>
          <w:i w:val="0"/>
          <w:iCs w:val="0"/>
          <w:color w:val="auto"/>
          <w:sz w:val="24"/>
          <w:szCs w:val="24"/>
          <w:highlight w:val="yellow"/>
        </w:rPr>
        <w:t>, pelas razões constantes do Estudo Técnico Preliminar.</w:t>
      </w:r>
    </w:p>
    <w:p>
      <w:pPr>
        <w:pStyle w:val="39"/>
        <w:spacing w:before="120" w:after="288" w:afterLines="120" w:line="312" w:lineRule="auto"/>
        <w:rPr>
          <w:sz w:val="24"/>
          <w:szCs w:val="24"/>
        </w:rPr>
      </w:pPr>
      <w:r>
        <w:rPr>
          <w:sz w:val="24"/>
          <w:szCs w:val="24"/>
        </w:rPr>
        <w:t>MODELO DE EXECUÇÃO DO OBJETO</w:t>
      </w:r>
    </w:p>
    <w:p>
      <w:pPr>
        <w:pStyle w:val="109"/>
        <w:spacing w:before="120" w:after="288" w:afterLines="120" w:line="312" w:lineRule="auto"/>
        <w:rPr>
          <w:color w:val="000000" w:themeColor="text1"/>
          <w:sz w:val="24"/>
          <w:szCs w:val="24"/>
          <w:highlight w:val="yellow"/>
        </w:rPr>
      </w:pPr>
      <w:r>
        <w:rPr>
          <w:color w:val="000000" w:themeColor="text1"/>
          <w:sz w:val="24"/>
          <w:szCs w:val="24"/>
          <w:highlight w:val="yellow"/>
        </w:rPr>
        <w:t>Condições de Entrega</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entrega dos bens é de </w:t>
      </w:r>
      <w:r>
        <w:rPr>
          <w:rFonts w:hint="default"/>
          <w:i w:val="0"/>
          <w:iCs w:val="0"/>
          <w:color w:val="auto"/>
          <w:sz w:val="24"/>
          <w:szCs w:val="24"/>
          <w:highlight w:val="yellow"/>
          <w:lang w:val="pt-BR"/>
        </w:rPr>
        <w:t>10 (dez) D</w:t>
      </w:r>
      <w:r>
        <w:rPr>
          <w:i w:val="0"/>
          <w:iCs w:val="0"/>
          <w:color w:val="auto"/>
          <w:sz w:val="24"/>
          <w:szCs w:val="24"/>
          <w:highlight w:val="yellow"/>
        </w:rPr>
        <w:t>ias</w:t>
      </w:r>
      <w:r>
        <w:rPr>
          <w:rFonts w:hint="default"/>
          <w:i w:val="0"/>
          <w:iCs w:val="0"/>
          <w:color w:val="auto"/>
          <w:sz w:val="24"/>
          <w:szCs w:val="24"/>
          <w:highlight w:val="yellow"/>
          <w:lang w:val="pt-BR"/>
        </w:rPr>
        <w:t xml:space="preserve"> corridos</w:t>
      </w:r>
      <w:r>
        <w:rPr>
          <w:i w:val="0"/>
          <w:iCs w:val="0"/>
          <w:color w:val="auto"/>
          <w:sz w:val="24"/>
          <w:szCs w:val="24"/>
          <w:highlight w:val="yellow"/>
        </w:rPr>
        <w:t>, contados da</w:t>
      </w:r>
      <w:r>
        <w:rPr>
          <w:rFonts w:hint="default"/>
          <w:i w:val="0"/>
          <w:iCs w:val="0"/>
          <w:color w:val="auto"/>
          <w:sz w:val="24"/>
          <w:szCs w:val="24"/>
          <w:highlight w:val="yellow"/>
          <w:lang w:val="pt-BR"/>
        </w:rPr>
        <w:t xml:space="preserve"> </w:t>
      </w:r>
      <w:r>
        <w:rPr>
          <w:rFonts w:hint="default"/>
          <w:i w:val="0"/>
          <w:iCs w:val="0"/>
          <w:color w:val="auto"/>
          <w:sz w:val="24"/>
          <w:szCs w:val="24"/>
          <w:highlight w:val="none"/>
          <w:lang w:val="pt-BR"/>
        </w:rPr>
        <w:t>apresentação da ordem de compra.</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As parcelas serão entregues nos seguintes prazos e condições:</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Caso não seja possível a entrega na data assinalada, a empresa deverá comunicar as razões respectivas com pelo menos </w:t>
      </w:r>
      <w:r>
        <w:rPr>
          <w:rFonts w:hint="default"/>
          <w:i w:val="0"/>
          <w:iCs w:val="0"/>
          <w:color w:val="auto"/>
          <w:sz w:val="24"/>
          <w:szCs w:val="24"/>
          <w:highlight w:val="yellow"/>
          <w:lang w:val="pt-BR"/>
        </w:rPr>
        <w:t>5 (cinco)</w:t>
      </w:r>
      <w:r>
        <w:rPr>
          <w:i w:val="0"/>
          <w:iCs w:val="0"/>
          <w:color w:val="auto"/>
          <w:sz w:val="24"/>
          <w:szCs w:val="24"/>
          <w:highlight w:val="yellow"/>
        </w:rPr>
        <w:t xml:space="preserve"> dias de antecedência para que qualquer pleito de prorrogação de prazo seja analisado, ressalvadas situações de caso fortuito e força maior.</w:t>
      </w:r>
    </w:p>
    <w:p>
      <w:pPr>
        <w:pStyle w:val="56"/>
        <w:spacing w:after="288" w:afterLines="120" w:line="312" w:lineRule="auto"/>
        <w:ind w:firstLine="709"/>
        <w:rPr>
          <w:sz w:val="24"/>
          <w:szCs w:val="24"/>
          <w:highlight w:val="yellow"/>
        </w:rPr>
      </w:pPr>
      <w:r>
        <w:rPr>
          <w:sz w:val="24"/>
          <w:szCs w:val="24"/>
          <w:highlight w:val="yellow"/>
        </w:rPr>
        <w:t>Os bens deverão ser entregues no seguinte endereço</w:t>
      </w:r>
      <w:r>
        <w:rPr>
          <w:rFonts w:hint="default"/>
          <w:sz w:val="24"/>
          <w:szCs w:val="24"/>
          <w:highlight w:val="yellow"/>
          <w:lang w:val="pt-BR"/>
        </w:rPr>
        <w:t>:</w:t>
      </w:r>
      <w:r>
        <w:rPr>
          <w:rFonts w:hint="default"/>
          <w:sz w:val="24"/>
          <w:szCs w:val="24"/>
          <w:highlight w:val="none"/>
          <w:lang w:val="pt-BR"/>
        </w:rPr>
        <w:t xml:space="preserve"> Almoxarifado Central da Prefeitura – Rua Capitão José Apolinário nº: 1.345, Bairro Brasília Arcos, M.G ou outro qualquer outra unidade da Prefeitura de Arcos descrito na Ordem de Compra.</w:t>
      </w:r>
    </w:p>
    <w:p>
      <w:pPr>
        <w:pStyle w:val="109"/>
        <w:spacing w:before="120" w:after="288" w:afterLines="120" w:line="312" w:lineRule="auto"/>
        <w:rPr>
          <w:i w:val="0"/>
          <w:iCs w:val="0"/>
          <w:color w:val="auto"/>
          <w:highlight w:val="yellow"/>
        </w:rPr>
      </w:pPr>
      <w:r>
        <w:rPr>
          <w:color w:val="auto"/>
          <w:sz w:val="24"/>
          <w:szCs w:val="24"/>
          <w:highlight w:val="yellow"/>
        </w:rPr>
        <w:t>Garantia, manutenção e assistência técnica</w:t>
      </w:r>
      <w:r>
        <w:rPr>
          <w:i w:val="0"/>
          <w:iCs w:val="0"/>
          <w:color w:val="auto"/>
          <w:highlight w:val="yellow"/>
        </w:rPr>
        <w:t xml:space="preserve">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garantia contratual dos bens, complementar à garantia legal, será de, no mínimo, </w:t>
      </w:r>
      <w:r>
        <w:rPr>
          <w:rFonts w:hint="default"/>
          <w:i w:val="0"/>
          <w:iCs w:val="0"/>
          <w:color w:val="auto"/>
          <w:sz w:val="24"/>
          <w:szCs w:val="24"/>
          <w:highlight w:val="yellow"/>
          <w:lang w:val="pt-BR"/>
        </w:rPr>
        <w:t>12</w:t>
      </w:r>
      <w:r>
        <w:rPr>
          <w:i w:val="0"/>
          <w:iCs w:val="0"/>
          <w:color w:val="auto"/>
          <w:sz w:val="24"/>
          <w:szCs w:val="24"/>
          <w:highlight w:val="yellow"/>
        </w:rPr>
        <w:t xml:space="preserve"> (</w:t>
      </w:r>
      <w:r>
        <w:rPr>
          <w:rFonts w:hint="default"/>
          <w:i w:val="0"/>
          <w:iCs w:val="0"/>
          <w:color w:val="auto"/>
          <w:sz w:val="24"/>
          <w:szCs w:val="24"/>
          <w:highlight w:val="yellow"/>
          <w:lang w:val="pt-BR"/>
        </w:rPr>
        <w:t>doze</w:t>
      </w:r>
      <w:r>
        <w:rPr>
          <w:i w:val="0"/>
          <w:iCs w:val="0"/>
          <w:color w:val="auto"/>
          <w:sz w:val="24"/>
          <w:szCs w:val="24"/>
          <w:highlight w:val="yellow"/>
        </w:rPr>
        <w:t xml:space="preserve">) meses, contado a partir do primeiro dia útil subsequente à data do recebimento definitivo do objeto.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Caso o prazo da garantia oferecida pelo fabricante seja inferior ao estabelecido nesta cláusula, o fornecedor deverá complementar a garantia do bem ofertado pelo período restante.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A garantia será prestada com vistas a manter os equipamentos fornecidos em perfeitas condições de uso, sem qualquer ônus ou custo adicional para o Contratante.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A garantia abrange a realização da manutenção corretiva dos bens pelo próprio Contratado, ou, se for o caso, por meio de assistência técnica autorizada, de acordo com as normas técnicas específicas.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Entende-se por manutenção corretiva aquela destinada a corrigir os defeitos apresentados pelos bens, compreendendo a substituição de peças, a realização de ajustes, reparos e correções necessárias.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Uma vez notificado, o Contratado realizará a reparação ou substituição dos bens que apresentarem vício ou defeito no prazo de até </w:t>
      </w:r>
      <w:r>
        <w:rPr>
          <w:rFonts w:hint="default"/>
          <w:i w:val="0"/>
          <w:iCs w:val="0"/>
          <w:color w:val="auto"/>
          <w:sz w:val="24"/>
          <w:szCs w:val="24"/>
          <w:highlight w:val="yellow"/>
          <w:lang w:val="pt-BR"/>
        </w:rPr>
        <w:t xml:space="preserve">15 quinze </w:t>
      </w:r>
      <w:r>
        <w:rPr>
          <w:i w:val="0"/>
          <w:iCs w:val="0"/>
          <w:color w:val="auto"/>
          <w:sz w:val="24"/>
          <w:szCs w:val="24"/>
          <w:highlight w:val="yellow"/>
        </w:rPr>
        <w:t xml:space="preserve">dias úteis, contados a partir da data de retirada do equipamento das dependências da Administração pelo Contratado ou pela assistência técnica autorizada.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prazo indicado no subitem anterior, durante seu transcurso, poderá ser prorrogado uma única vez, por igual período, mediante solicitação escrita e justificada do Contratado, aceita pelo Contratante.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custo referente ao transporte dos equipamentos cobertos pela garantia será de responsabilidade do Contratado. </w:t>
      </w:r>
    </w:p>
    <w:p>
      <w:pPr>
        <w:pStyle w:val="103"/>
        <w:spacing w:after="288" w:afterLines="120" w:line="312" w:lineRule="auto"/>
        <w:ind w:firstLine="709"/>
        <w:rPr>
          <w:sz w:val="24"/>
          <w:szCs w:val="24"/>
          <w:highlight w:val="yellow"/>
        </w:rPr>
      </w:pPr>
      <w:r>
        <w:rPr>
          <w:i w:val="0"/>
          <w:iCs w:val="0"/>
          <w:color w:val="auto"/>
          <w:sz w:val="24"/>
          <w:szCs w:val="24"/>
          <w:highlight w:val="yellow"/>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Pr>
          <w:sz w:val="24"/>
          <w:szCs w:val="24"/>
          <w:highlight w:val="yellow"/>
        </w:rPr>
        <w:t>.</w:t>
      </w:r>
    </w:p>
    <w:p>
      <w:pPr>
        <w:pStyle w:val="39"/>
        <w:spacing w:before="120" w:after="288" w:afterLines="120" w:line="312" w:lineRule="auto"/>
        <w:rPr>
          <w:sz w:val="24"/>
          <w:szCs w:val="24"/>
        </w:rPr>
      </w:pPr>
      <w:r>
        <w:rPr>
          <w:sz w:val="24"/>
          <w:szCs w:val="24"/>
        </w:rPr>
        <w:t>MODELO DE GESTÃO DO CONTRATO</w:t>
      </w:r>
    </w:p>
    <w:p>
      <w:pPr>
        <w:pStyle w:val="56"/>
        <w:spacing w:after="288"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sendo indicado para a presente contratação o</w:t>
      </w:r>
      <w:r>
        <w:rPr>
          <w:rFonts w:hint="default"/>
          <w:sz w:val="24"/>
          <w:szCs w:val="24"/>
          <w:lang w:val="pt-BR"/>
        </w:rPr>
        <w:t>s</w:t>
      </w:r>
      <w:r>
        <w:rPr>
          <w:sz w:val="24"/>
          <w:szCs w:val="24"/>
        </w:rPr>
        <w:t xml:space="preserve"> servidor</w:t>
      </w:r>
      <w:r>
        <w:rPr>
          <w:rFonts w:hint="default"/>
          <w:sz w:val="24"/>
          <w:szCs w:val="24"/>
          <w:lang w:val="pt-BR"/>
        </w:rPr>
        <w:t>es</w:t>
      </w:r>
      <w:r>
        <w:rPr>
          <w:sz w:val="24"/>
          <w:szCs w:val="24"/>
        </w:rPr>
        <w:t xml:space="preserve"> </w:t>
      </w:r>
      <w:r>
        <w:rPr>
          <w:rFonts w:hint="default" w:cs="Arial"/>
          <w:i w:val="0"/>
          <w:iCs w:val="0"/>
          <w:color w:val="000000"/>
          <w:sz w:val="24"/>
          <w:szCs w:val="24"/>
          <w:u w:val="none"/>
          <w:vertAlign w:val="baseline"/>
          <w:lang w:val="pt-BR"/>
        </w:rPr>
        <w:t>Áthila L. B. de Alcantara</w:t>
      </w:r>
      <w:r>
        <w:rPr>
          <w:rFonts w:hint="default" w:ascii="Arial" w:hAnsi="Arial" w:cs="Arial"/>
          <w:i w:val="0"/>
          <w:iCs w:val="0"/>
          <w:color w:val="000000"/>
          <w:sz w:val="24"/>
          <w:szCs w:val="24"/>
          <w:u w:val="none"/>
          <w:vertAlign w:val="baseline"/>
          <w:lang w:val="pt-BR"/>
        </w:rPr>
        <w:t xml:space="preserve"> MASP: </w:t>
      </w:r>
      <w:r>
        <w:rPr>
          <w:rFonts w:hint="default" w:cs="Arial"/>
          <w:i w:val="0"/>
          <w:iCs w:val="0"/>
          <w:color w:val="000000"/>
          <w:sz w:val="24"/>
          <w:szCs w:val="24"/>
          <w:u w:val="none"/>
          <w:vertAlign w:val="baseline"/>
          <w:lang w:val="pt-BR"/>
        </w:rPr>
        <w:t>6759/8, Cleisse M. R. Z. Guimarães MASP: 102820/0, Fellipe Rangel dos Santos MASP: 143460/8, Soraia Caetano de Oliveira MASP: 143457/8, Dayne Ivida Florentino Gomes MASP: 6843/8,</w:t>
      </w:r>
      <w:r>
        <w:rPr>
          <w:sz w:val="24"/>
          <w:szCs w:val="24"/>
        </w:rPr>
        <w:t xml:space="preserve"> para atuar</w:t>
      </w:r>
      <w:r>
        <w:rPr>
          <w:rFonts w:hint="default"/>
          <w:sz w:val="24"/>
          <w:szCs w:val="24"/>
          <w:lang w:val="pt-BR"/>
        </w:rPr>
        <w:t>em</w:t>
      </w:r>
      <w:r>
        <w:rPr>
          <w:sz w:val="24"/>
          <w:szCs w:val="24"/>
        </w:rPr>
        <w:t xml:space="preserve"> como fisca</w:t>
      </w:r>
      <w:r>
        <w:rPr>
          <w:rFonts w:hint="default"/>
          <w:sz w:val="24"/>
          <w:szCs w:val="24"/>
          <w:lang w:val="pt-BR"/>
        </w:rPr>
        <w:t>is</w:t>
      </w:r>
      <w:r>
        <w:rPr>
          <w:sz w:val="24"/>
          <w:szCs w:val="24"/>
        </w:rPr>
        <w:t xml:space="preserve"> do contrato e o</w:t>
      </w:r>
      <w:r>
        <w:rPr>
          <w:rFonts w:hint="default"/>
          <w:sz w:val="24"/>
          <w:szCs w:val="24"/>
          <w:lang w:val="pt-BR"/>
        </w:rPr>
        <w:t>s</w:t>
      </w:r>
      <w:r>
        <w:rPr>
          <w:sz w:val="24"/>
          <w:szCs w:val="24"/>
        </w:rPr>
        <w:t xml:space="preserve"> servidor</w:t>
      </w:r>
      <w:r>
        <w:rPr>
          <w:rFonts w:hint="default"/>
          <w:sz w:val="24"/>
          <w:szCs w:val="24"/>
          <w:lang w:val="pt-BR"/>
        </w:rPr>
        <w:t>es</w:t>
      </w:r>
      <w:r>
        <w:rPr>
          <w:sz w:val="24"/>
          <w:szCs w:val="24"/>
        </w:rPr>
        <w:t xml:space="preserve"> </w:t>
      </w:r>
      <w:r>
        <w:rPr>
          <w:rFonts w:hint="default" w:cs="Arial"/>
          <w:i w:val="0"/>
          <w:iCs w:val="0"/>
          <w:color w:val="000000"/>
          <w:sz w:val="24"/>
          <w:szCs w:val="24"/>
          <w:u w:val="none"/>
          <w:vertAlign w:val="baseline"/>
          <w:lang w:val="pt-BR"/>
        </w:rPr>
        <w:t>Alexandre Ferreira MASP: 9038/7, Sônia Maria Neves Zuquim Vilela MASP: 6611/7, Tiago Carvalho de Oliveira MASP: 5987/0, Sérgio José Veloso MASP: 6601/0, Daniel Ribeiro de Mendonça</w:t>
      </w:r>
      <w:r>
        <w:rPr>
          <w:rFonts w:hint="default" w:ascii="Arial" w:hAnsi="Arial" w:cs="Arial"/>
          <w:i w:val="0"/>
          <w:iCs w:val="0"/>
          <w:color w:val="000000"/>
          <w:sz w:val="24"/>
          <w:szCs w:val="24"/>
          <w:u w:val="none"/>
          <w:vertAlign w:val="baseline"/>
          <w:lang w:val="pt-BR"/>
        </w:rPr>
        <w:t xml:space="preserve"> MASP: </w:t>
      </w:r>
      <w:r>
        <w:rPr>
          <w:rFonts w:hint="default" w:cs="Arial"/>
          <w:i w:val="0"/>
          <w:iCs w:val="0"/>
          <w:color w:val="000000"/>
          <w:sz w:val="24"/>
          <w:szCs w:val="24"/>
          <w:u w:val="none"/>
          <w:vertAlign w:val="baseline"/>
          <w:lang w:val="pt-BR"/>
        </w:rPr>
        <w:t>6602/8,</w:t>
      </w:r>
      <w:r>
        <w:rPr>
          <w:sz w:val="24"/>
          <w:szCs w:val="24"/>
        </w:rPr>
        <w:t xml:space="preserve"> para atuar</w:t>
      </w:r>
      <w:r>
        <w:rPr>
          <w:rFonts w:hint="default"/>
          <w:sz w:val="24"/>
          <w:szCs w:val="24"/>
          <w:lang w:val="pt-BR"/>
        </w:rPr>
        <w:t>em</w:t>
      </w:r>
      <w:r>
        <w:rPr>
          <w:sz w:val="24"/>
          <w:szCs w:val="24"/>
        </w:rPr>
        <w:t xml:space="preserve"> como gestor</w:t>
      </w:r>
      <w:r>
        <w:rPr>
          <w:rFonts w:hint="default"/>
          <w:sz w:val="24"/>
          <w:szCs w:val="24"/>
          <w:lang w:val="pt-BR"/>
        </w:rPr>
        <w:t>es</w:t>
      </w:r>
      <w:r>
        <w:rPr>
          <w:sz w:val="24"/>
          <w:szCs w:val="24"/>
        </w:rPr>
        <w:t xml:space="preserve"> do contrato.</w:t>
      </w:r>
    </w:p>
    <w:p>
      <w:pPr>
        <w:pStyle w:val="56"/>
        <w:spacing w:after="288"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firstLine="709"/>
        <w:rPr>
          <w:sz w:val="24"/>
          <w:szCs w:val="24"/>
          <w:lang w:eastAsia="en-US"/>
        </w:rPr>
      </w:pPr>
      <w:r>
        <w:rPr>
          <w:sz w:val="24"/>
          <w:szCs w:val="24"/>
          <w:lang w:eastAsia="en-US"/>
        </w:rPr>
        <w:t xml:space="preserve">Os bens serão recebidos provisoriamente,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Referênciae na proposta.</w:t>
      </w:r>
    </w:p>
    <w:p>
      <w:pPr>
        <w:pStyle w:val="56"/>
        <w:spacing w:after="288" w:afterLines="120" w:line="312" w:lineRule="auto"/>
        <w:ind w:firstLine="709"/>
        <w:rPr>
          <w:sz w:val="24"/>
          <w:szCs w:val="24"/>
          <w:lang w:eastAsia="en-US"/>
        </w:rPr>
      </w:pPr>
      <w:r>
        <w:rPr>
          <w:sz w:val="24"/>
          <w:szCs w:val="24"/>
          <w:lang w:eastAsia="en-US"/>
        </w:rPr>
        <w:t xml:space="preserve">Os itens poderão ser rejeitados, no todo ou em parte, inclusive antes do recebimento provisório, quando em desacordo com as especificações constantes no Termo de Referênciae na proposta, devendo ser substituídos no prazo </w:t>
      </w:r>
      <w:r>
        <w:rPr>
          <w:color w:val="auto"/>
          <w:sz w:val="24"/>
          <w:szCs w:val="24"/>
          <w:lang w:eastAsia="en-US"/>
        </w:rPr>
        <w:t xml:space="preserve">de </w:t>
      </w:r>
      <w:r>
        <w:rPr>
          <w:rFonts w:hint="default"/>
          <w:color w:val="auto"/>
          <w:sz w:val="24"/>
          <w:szCs w:val="24"/>
          <w:highlight w:val="yellow"/>
          <w:lang w:val="pt-BR" w:eastAsia="en-US"/>
        </w:rPr>
        <w:t>5</w:t>
      </w:r>
      <w:r>
        <w:rPr>
          <w:color w:val="auto"/>
          <w:sz w:val="24"/>
          <w:szCs w:val="24"/>
          <w:highlight w:val="yellow"/>
          <w:lang w:eastAsia="en-US"/>
        </w:rPr>
        <w:t xml:space="preserve"> (</w:t>
      </w:r>
      <w:r>
        <w:rPr>
          <w:rFonts w:hint="default"/>
          <w:color w:val="auto"/>
          <w:sz w:val="24"/>
          <w:szCs w:val="24"/>
          <w:highlight w:val="yellow"/>
          <w:lang w:val="pt-BR" w:eastAsia="en-US"/>
        </w:rPr>
        <w:t>cinco</w:t>
      </w:r>
      <w:r>
        <w:rPr>
          <w:color w:val="auto"/>
          <w:sz w:val="24"/>
          <w:szCs w:val="24"/>
          <w:highlight w:val="yellow"/>
          <w:lang w:eastAsia="en-US"/>
        </w:rPr>
        <w:t>)</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sz w:val="24"/>
          <w:szCs w:val="24"/>
          <w:lang w:eastAsia="en-US"/>
        </w:rPr>
        <w:t xml:space="preserve">O recebimento definitivo ocorrerá no prazo </w:t>
      </w:r>
      <w:r>
        <w:rPr>
          <w:color w:val="auto"/>
          <w:sz w:val="24"/>
          <w:szCs w:val="24"/>
          <w:lang w:eastAsia="en-US"/>
        </w:rPr>
        <w:t xml:space="preserve">de </w:t>
      </w:r>
      <w:r>
        <w:rPr>
          <w:rFonts w:hint="default"/>
          <w:color w:val="auto"/>
          <w:sz w:val="24"/>
          <w:szCs w:val="24"/>
          <w:highlight w:val="yellow"/>
          <w:lang w:val="pt-BR" w:eastAsia="en-US"/>
        </w:rPr>
        <w:t xml:space="preserve">30 </w:t>
      </w:r>
      <w:r>
        <w:rPr>
          <w:color w:val="auto"/>
          <w:sz w:val="24"/>
          <w:szCs w:val="24"/>
          <w:highlight w:val="yellow"/>
          <w:lang w:eastAsia="en-US"/>
        </w:rPr>
        <w:t>(</w:t>
      </w:r>
      <w:r>
        <w:rPr>
          <w:rFonts w:hint="default"/>
          <w:color w:val="auto"/>
          <w:sz w:val="24"/>
          <w:szCs w:val="24"/>
          <w:highlight w:val="yellow"/>
          <w:lang w:val="pt-BR" w:eastAsia="en-US"/>
        </w:rPr>
        <w:t>trinta</w:t>
      </w:r>
      <w:r>
        <w:rPr>
          <w:color w:val="auto"/>
          <w:sz w:val="24"/>
          <w:szCs w:val="24"/>
          <w:highlight w:val="yellow"/>
          <w:lang w:eastAsia="en-US"/>
        </w:rPr>
        <w:t>)</w:t>
      </w:r>
      <w:r>
        <w:rPr>
          <w:color w:val="auto"/>
          <w:sz w:val="24"/>
          <w:szCs w:val="24"/>
          <w:lang w:eastAsia="en-US"/>
        </w:rPr>
        <w:t xml:space="preserve"> dias úteis,</w:t>
      </w:r>
      <w:r>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pPr>
        <w:pStyle w:val="56"/>
        <w:spacing w:after="288" w:afterLines="120" w:line="312" w:lineRule="auto"/>
        <w:ind w:firstLine="709"/>
        <w:rPr>
          <w:sz w:val="24"/>
          <w:szCs w:val="24"/>
          <w:lang w:eastAsia="en-US"/>
        </w:rPr>
      </w:pPr>
      <w:r>
        <w:rPr>
          <w:sz w:val="24"/>
          <w:szCs w:val="24"/>
          <w:lang w:eastAsia="en-US"/>
        </w:rPr>
        <w:t xml:space="preserve">Para as contratações decorrentes de despesas cujos valores não ultrapassem o limite de que trata o </w:t>
      </w:r>
      <w:r>
        <w:fldChar w:fldCharType="begin"/>
      </w:r>
      <w:r>
        <w:instrText xml:space="preserve"> HYPERLINK "http://www.planalto.gov.br/ccivil_03/_ato2019-2022/2021/lei/L14133.htm" \l "art75" </w:instrText>
      </w:r>
      <w:r>
        <w:fldChar w:fldCharType="separate"/>
      </w:r>
      <w:r>
        <w:rPr>
          <w:rStyle w:val="13"/>
          <w:sz w:val="24"/>
          <w:szCs w:val="24"/>
          <w:lang w:eastAsia="en-US"/>
        </w:rPr>
        <w:t>inciso II do art. 75 da Lei nº 14.133, de 2021</w:t>
      </w:r>
      <w:r>
        <w:rPr>
          <w:rStyle w:val="13"/>
          <w:sz w:val="24"/>
          <w:szCs w:val="24"/>
          <w:lang w:eastAsia="en-US"/>
        </w:rPr>
        <w:fldChar w:fldCharType="end"/>
      </w:r>
      <w:r>
        <w:rPr>
          <w:sz w:val="24"/>
          <w:szCs w:val="24"/>
          <w:lang w:eastAsia="en-US"/>
        </w:rPr>
        <w:t xml:space="preserve">, o prazo máximo para o recebimento definitivo será de até </w:t>
      </w:r>
      <w:r>
        <w:rPr>
          <w:rFonts w:hint="default"/>
          <w:color w:val="auto"/>
          <w:sz w:val="24"/>
          <w:szCs w:val="24"/>
          <w:highlight w:val="yellow"/>
          <w:lang w:val="pt-BR" w:eastAsia="en-US"/>
        </w:rPr>
        <w:t xml:space="preserve">60 </w:t>
      </w:r>
      <w:r>
        <w:rPr>
          <w:color w:val="auto"/>
          <w:sz w:val="24"/>
          <w:szCs w:val="24"/>
          <w:highlight w:val="yellow"/>
          <w:lang w:eastAsia="en-US"/>
        </w:rPr>
        <w:t>(</w:t>
      </w:r>
      <w:r>
        <w:rPr>
          <w:rFonts w:hint="default"/>
          <w:color w:val="auto"/>
          <w:sz w:val="24"/>
          <w:szCs w:val="24"/>
          <w:highlight w:val="yellow"/>
          <w:lang w:val="pt-BR" w:eastAsia="en-US"/>
        </w:rPr>
        <w:t>sessenta</w:t>
      </w:r>
      <w:r>
        <w:rPr>
          <w:color w:val="auto"/>
          <w:sz w:val="24"/>
          <w:szCs w:val="24"/>
          <w:highlight w:val="yellow"/>
          <w:lang w:eastAsia="en-US"/>
        </w:rPr>
        <w:t>)</w:t>
      </w:r>
      <w:r>
        <w:rPr>
          <w:rFonts w:hint="default"/>
          <w:color w:val="auto"/>
          <w:sz w:val="24"/>
          <w:szCs w:val="24"/>
          <w:highlight w:val="yellow"/>
          <w:lang w:val="pt-BR" w:eastAsia="en-US"/>
        </w:rPr>
        <w:t xml:space="preserve"> </w:t>
      </w:r>
      <w:r>
        <w:rPr>
          <w:sz w:val="24"/>
          <w:szCs w:val="24"/>
          <w:lang w:eastAsia="en-US"/>
        </w:rPr>
        <w:t>dias úteis.</w:t>
      </w:r>
    </w:p>
    <w:p>
      <w:pPr>
        <w:pStyle w:val="56"/>
        <w:spacing w:after="288" w:afterLines="120" w:line="312" w:lineRule="auto"/>
        <w:ind w:firstLine="709"/>
        <w:rPr>
          <w:sz w:val="24"/>
          <w:szCs w:val="24"/>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288" w:afterLines="120" w:line="312" w:lineRule="auto"/>
        <w:ind w:firstLine="709"/>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firstLine="709"/>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A nota fiscal deverá conter lote e prazo de validade dos produtos, ou outras informações que a legislação assim dispuser.</w:t>
      </w:r>
    </w:p>
    <w:p>
      <w:pPr>
        <w:pStyle w:val="56"/>
        <w:spacing w:after="288" w:afterLines="120" w:line="312" w:lineRule="auto"/>
        <w:ind w:firstLine="709"/>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firstLine="709"/>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firstLine="709"/>
        <w:rPr>
          <w:sz w:val="24"/>
          <w:szCs w:val="24"/>
        </w:rPr>
      </w:pPr>
      <w:r>
        <w:rPr>
          <w:rFonts w:eastAsia="Arial"/>
          <w:sz w:val="24"/>
          <w:szCs w:val="24"/>
        </w:rPr>
        <w:t xml:space="preserve">O fornecedor será selecionado por meio da realização de procedimento de LICITAÇÃO, na modalidade </w:t>
      </w:r>
      <w:r>
        <w:rPr>
          <w:rFonts w:hint="default" w:eastAsia="Arial"/>
          <w:sz w:val="24"/>
          <w:szCs w:val="24"/>
          <w:lang w:val="pt-BR"/>
        </w:rPr>
        <w:t xml:space="preserve">Pregão: </w:t>
      </w:r>
      <w:r>
        <w:rPr>
          <w:rFonts w:hint="default" w:eastAsia="Arial"/>
          <w:sz w:val="24"/>
          <w:szCs w:val="24"/>
          <w:highlight w:val="yellow"/>
          <w:lang w:val="pt-BR"/>
        </w:rPr>
        <w:t>Registro de Preço</w:t>
      </w:r>
      <w:r>
        <w:rPr>
          <w:rFonts w:eastAsia="Arial"/>
          <w:sz w:val="24"/>
          <w:szCs w:val="24"/>
        </w:rPr>
        <w:t xml:space="preserve">, sob a forma ELETRÔNICA, com adoção do critério de julgamento pelo </w:t>
      </w:r>
      <w:r>
        <w:rPr>
          <w:rFonts w:hint="default" w:eastAsia="Arial"/>
          <w:color w:val="auto"/>
          <w:sz w:val="24"/>
          <w:szCs w:val="24"/>
          <w:highlight w:val="yellow"/>
          <w:lang w:val="pt-BR"/>
        </w:rPr>
        <w:t>menor preço por item.</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firstLine="709"/>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firstLine="709"/>
        <w:rPr>
          <w:sz w:val="24"/>
          <w:szCs w:val="24"/>
        </w:rPr>
      </w:pPr>
      <w:r>
        <w:rPr>
          <w:b/>
          <w:bCs/>
          <w:sz w:val="24"/>
          <w:szCs w:val="24"/>
        </w:rPr>
        <w:t>Empresário individual:</w:t>
      </w:r>
      <w:r>
        <w:rPr>
          <w:sz w:val="24"/>
          <w:szCs w:val="24"/>
        </w:rPr>
        <w:t xml:space="preserve"> inscrição no Registro Público de Empresas Mercantis, a cargo da Junta Comercial da respectiva sede; </w:t>
      </w:r>
    </w:p>
    <w:p>
      <w:pPr>
        <w:pStyle w:val="56"/>
        <w:spacing w:after="288"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firstLine="709"/>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firstLine="709"/>
        <w:rPr>
          <w:sz w:val="24"/>
          <w:szCs w:val="24"/>
          <w:highlight w:val="yellow"/>
        </w:rPr>
      </w:pPr>
      <w:r>
        <w:rPr>
          <w:b/>
          <w:bCs/>
          <w:sz w:val="24"/>
          <w:szCs w:val="24"/>
          <w:highlight w:val="yellow"/>
        </w:rPr>
        <w:t>Sociedade empresária estrangeira:</w:t>
      </w:r>
      <w:r>
        <w:rPr>
          <w:sz w:val="24"/>
          <w:szCs w:val="24"/>
          <w:highlight w:val="yellow"/>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288" w:afterLines="120" w:line="312" w:lineRule="auto"/>
        <w:ind w:firstLine="709"/>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56"/>
        <w:spacing w:after="288" w:afterLines="120" w:line="312" w:lineRule="auto"/>
        <w:ind w:firstLine="709"/>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sz w:val="24"/>
          <w:szCs w:val="24"/>
        </w:rPr>
        <w:t>art. 107 da Lei nº 5.764, de 16 de dezembro 1971</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firstLine="709"/>
        <w:rPr>
          <w:sz w:val="24"/>
          <w:szCs w:val="24"/>
        </w:rPr>
      </w:pPr>
      <w:r>
        <w:rPr>
          <w:sz w:val="24"/>
          <w:szCs w:val="24"/>
        </w:rPr>
        <w:t>Prova de regularidade com o Fundo de Garantia do Tempo de Serviço (FGTS);</w:t>
      </w:r>
    </w:p>
    <w:p>
      <w:pPr>
        <w:pStyle w:val="56"/>
        <w:spacing w:after="288"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firstLine="709"/>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Balanço patrimonial, demonstração de resultado de exercício e demais demonstrações contábeis relativos</w:t>
      </w:r>
      <w:r>
        <w:rPr>
          <w:rFonts w:hint="default"/>
          <w:sz w:val="24"/>
          <w:szCs w:val="24"/>
          <w:lang w:val="pt-BR"/>
        </w:rPr>
        <w:t xml:space="preserve"> </w:t>
      </w:r>
      <w:r>
        <w:rPr>
          <w:sz w:val="24"/>
          <w:szCs w:val="24"/>
        </w:rPr>
        <w:t>ao último exercício</w:t>
      </w:r>
      <w:r>
        <w:rPr>
          <w:rFonts w:hint="default"/>
          <w:sz w:val="24"/>
          <w:szCs w:val="24"/>
          <w:lang w:val="pt-BR"/>
        </w:rPr>
        <w:t xml:space="preserve"> </w:t>
      </w:r>
      <w:r>
        <w:rPr>
          <w:sz w:val="24"/>
          <w:szCs w:val="24"/>
          <w:highlight w:val="yellow"/>
        </w:rPr>
        <w:t>2022.</w:t>
      </w:r>
      <w:r>
        <w:rPr>
          <w:sz w:val="24"/>
          <w:szCs w:val="24"/>
        </w:rPr>
        <w:t xml:space="preserve"> (Lei nº 14.133, de 2021, art. 69, §6º).</w:t>
      </w:r>
    </w:p>
    <w:p>
      <w:pPr>
        <w:pStyle w:val="56"/>
        <w:spacing w:after="288" w:afterLines="120" w:line="312" w:lineRule="auto"/>
        <w:ind w:firstLine="709"/>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firstLine="709"/>
        <w:rPr>
          <w:i w:val="0"/>
          <w:iCs w:val="0"/>
          <w:color w:val="auto"/>
          <w:sz w:val="24"/>
          <w:szCs w:val="24"/>
        </w:rPr>
      </w:pPr>
      <w:r>
        <w:rPr>
          <w:i w:val="0"/>
          <w:iCs w:val="0"/>
          <w:color w:val="auto"/>
          <w:sz w:val="24"/>
          <w:szCs w:val="24"/>
        </w:rPr>
        <w:t xml:space="preserve">Comprovação de aptidão para o fornecimento de </w:t>
      </w:r>
      <w:r>
        <w:rPr>
          <w:i w:val="0"/>
          <w:iCs w:val="0"/>
          <w:color w:val="auto"/>
          <w:sz w:val="24"/>
          <w:szCs w:val="24"/>
          <w:highlight w:val="yellow"/>
        </w:rPr>
        <w:t>bens</w:t>
      </w:r>
      <w:r>
        <w:rPr>
          <w:rFonts w:hint="default"/>
          <w:i w:val="0"/>
          <w:iCs w:val="0"/>
          <w:color w:val="auto"/>
          <w:sz w:val="24"/>
          <w:szCs w:val="24"/>
          <w:highlight w:val="yellow"/>
          <w:lang w:val="pt-BR"/>
        </w:rPr>
        <w:t xml:space="preserve"> </w:t>
      </w:r>
      <w:r>
        <w:rPr>
          <w:i w:val="0"/>
          <w:iCs w:val="0"/>
          <w:color w:val="auto"/>
          <w:sz w:val="24"/>
          <w:szCs w:val="24"/>
        </w:rPr>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288" w:afterLines="120" w:line="312" w:lineRule="auto"/>
        <w:ind w:left="170" w:firstLine="709"/>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
    <w:p>
      <w:pPr>
        <w:pStyle w:val="104"/>
        <w:spacing w:after="288" w:afterLines="120" w:line="312" w:lineRule="auto"/>
        <w:ind w:left="170" w:firstLine="709"/>
        <w:rPr>
          <w:rFonts w:hint="default"/>
          <w:i w:val="0"/>
          <w:iCs w:val="0"/>
          <w:color w:val="auto"/>
          <w:sz w:val="24"/>
          <w:szCs w:val="24"/>
          <w:highlight w:val="yellow"/>
        </w:rPr>
      </w:pPr>
      <w:r>
        <w:rPr>
          <w:rFonts w:hint="default"/>
          <w:i w:val="0"/>
          <w:iCs w:val="0"/>
          <w:color w:val="auto"/>
          <w:sz w:val="24"/>
          <w:szCs w:val="24"/>
          <w:highlight w:val="yellow"/>
        </w:rPr>
        <w:t>6.5.1.Nomes empresariais e dados de identificação da instituição emitente (CNPJ, endereço, telefone, e- mail);</w:t>
      </w:r>
    </w:p>
    <w:p>
      <w:pPr>
        <w:pStyle w:val="104"/>
        <w:spacing w:after="288" w:afterLines="120" w:line="312" w:lineRule="auto"/>
        <w:ind w:left="170" w:firstLine="709"/>
        <w:rPr>
          <w:rFonts w:hint="default"/>
          <w:i w:val="0"/>
          <w:iCs w:val="0"/>
          <w:color w:val="auto"/>
          <w:sz w:val="24"/>
          <w:szCs w:val="24"/>
          <w:highlight w:val="yellow"/>
        </w:rPr>
      </w:pPr>
      <w:r>
        <w:rPr>
          <w:rFonts w:hint="default"/>
          <w:i w:val="0"/>
          <w:iCs w:val="0"/>
          <w:color w:val="auto"/>
          <w:sz w:val="24"/>
          <w:szCs w:val="24"/>
          <w:highlight w:val="yellow"/>
        </w:rPr>
        <w:t>6.5.2.Local e data de emissão;</w:t>
      </w:r>
    </w:p>
    <w:p>
      <w:pPr>
        <w:pStyle w:val="104"/>
        <w:spacing w:after="288" w:afterLines="120" w:line="312" w:lineRule="auto"/>
        <w:ind w:left="170" w:firstLine="709"/>
        <w:rPr>
          <w:rFonts w:hint="default"/>
          <w:i w:val="0"/>
          <w:iCs w:val="0"/>
          <w:color w:val="auto"/>
          <w:sz w:val="24"/>
          <w:szCs w:val="24"/>
          <w:highlight w:val="yellow"/>
        </w:rPr>
      </w:pPr>
      <w:r>
        <w:rPr>
          <w:rFonts w:hint="default"/>
          <w:i w:val="0"/>
          <w:iCs w:val="0"/>
          <w:color w:val="auto"/>
          <w:sz w:val="24"/>
          <w:szCs w:val="24"/>
          <w:highlight w:val="yellow"/>
        </w:rPr>
        <w:t>6.5.3.Nome, cargo, telefone, e- mail e a assinatura do responsável pela veracidade das informações;</w:t>
      </w:r>
    </w:p>
    <w:p>
      <w:pPr>
        <w:pStyle w:val="104"/>
        <w:spacing w:after="288" w:afterLines="120" w:line="312" w:lineRule="auto"/>
        <w:ind w:left="170" w:firstLine="709"/>
        <w:rPr>
          <w:i w:val="0"/>
          <w:iCs w:val="0"/>
          <w:color w:val="auto"/>
          <w:sz w:val="24"/>
          <w:szCs w:val="24"/>
        </w:rPr>
      </w:pPr>
      <w:r>
        <w:rPr>
          <w:rFonts w:hint="default"/>
          <w:i w:val="0"/>
          <w:iCs w:val="0"/>
          <w:color w:val="auto"/>
          <w:sz w:val="24"/>
          <w:szCs w:val="24"/>
          <w:highlight w:val="yellow"/>
        </w:rPr>
        <w:t>Período de fornecimento/prestação de serviço</w:t>
      </w:r>
    </w:p>
    <w:p>
      <w:pPr>
        <w:pStyle w:val="104"/>
        <w:spacing w:after="288" w:afterLines="120" w:line="312" w:lineRule="auto"/>
        <w:ind w:left="170" w:firstLine="709"/>
        <w:rPr>
          <w:i w:val="0"/>
          <w:iCs w:val="0"/>
          <w:color w:val="auto"/>
          <w:sz w:val="24"/>
          <w:szCs w:val="24"/>
        </w:rPr>
      </w:pPr>
      <w:r>
        <w:rPr>
          <w:i w:val="0"/>
          <w:iCs w:val="0"/>
          <w:color w:val="auto"/>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70" w:firstLine="709"/>
        <w:rPr>
          <w:i w:val="0"/>
          <w:iCs w:val="0"/>
          <w:color w:val="auto"/>
          <w:sz w:val="24"/>
          <w:szCs w:val="24"/>
        </w:rPr>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39"/>
        <w:spacing w:before="120" w:after="288" w:afterLines="120" w:line="312" w:lineRule="auto"/>
        <w:rPr>
          <w:sz w:val="24"/>
          <w:szCs w:val="24"/>
        </w:rPr>
      </w:pPr>
      <w:r>
        <w:rPr>
          <w:sz w:val="24"/>
          <w:szCs w:val="24"/>
        </w:rPr>
        <w:t xml:space="preserve">ESTIMATIVAS DO VALOR </w:t>
      </w:r>
      <w:r>
        <w:rPr>
          <w:rFonts w:hint="default"/>
          <w:sz w:val="24"/>
          <w:szCs w:val="24"/>
          <w:lang w:val="pt-BR"/>
        </w:rPr>
        <w:t xml:space="preserve"> </w:t>
      </w:r>
      <w:bookmarkStart w:id="2" w:name="_GoBack"/>
      <w:bookmarkEnd w:id="2"/>
      <w:r>
        <w:rPr>
          <w:sz w:val="24"/>
          <w:szCs w:val="24"/>
        </w:rPr>
        <w:t>DA CONTRATAÇÃO</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O custo estimado total da contratação é de R$</w:t>
      </w:r>
      <w:r>
        <w:rPr>
          <w:rFonts w:hint="default"/>
          <w:i w:val="0"/>
          <w:iCs w:val="0"/>
          <w:color w:val="auto"/>
          <w:sz w:val="24"/>
          <w:szCs w:val="24"/>
          <w:highlight w:val="yellow"/>
          <w:lang w:val="pt-BR"/>
        </w:rPr>
        <w:t xml:space="preserve"> 896.508,23 </w:t>
      </w:r>
      <w:r>
        <w:rPr>
          <w:i w:val="0"/>
          <w:iCs w:val="0"/>
          <w:color w:val="auto"/>
          <w:sz w:val="24"/>
          <w:szCs w:val="24"/>
          <w:highlight w:val="yellow"/>
        </w:rPr>
        <w:t xml:space="preserve"> </w:t>
      </w:r>
      <w:r>
        <w:rPr>
          <w:rFonts w:hint="default"/>
          <w:i w:val="0"/>
          <w:iCs w:val="0"/>
          <w:color w:val="auto"/>
          <w:sz w:val="24"/>
          <w:szCs w:val="24"/>
          <w:highlight w:val="yellow"/>
          <w:lang w:val="pt-BR"/>
        </w:rPr>
        <w:t>oitocento</w:t>
      </w:r>
      <w:r>
        <w:rPr>
          <w:rFonts w:hint="default"/>
          <w:i w:val="0"/>
          <w:iCs w:val="0"/>
          <w:color w:val="auto"/>
          <w:sz w:val="24"/>
          <w:szCs w:val="24"/>
          <w:highlight w:val="yellow"/>
        </w:rPr>
        <w:t xml:space="preserve">s e </w:t>
      </w:r>
      <w:r>
        <w:rPr>
          <w:rFonts w:hint="default"/>
          <w:i w:val="0"/>
          <w:iCs w:val="0"/>
          <w:color w:val="auto"/>
          <w:sz w:val="24"/>
          <w:szCs w:val="24"/>
          <w:highlight w:val="yellow"/>
          <w:lang w:val="pt-BR"/>
        </w:rPr>
        <w:t>noventa e seis mil</w:t>
      </w:r>
      <w:r>
        <w:rPr>
          <w:rFonts w:hint="default"/>
          <w:i w:val="0"/>
          <w:iCs w:val="0"/>
          <w:color w:val="auto"/>
          <w:sz w:val="24"/>
          <w:szCs w:val="24"/>
          <w:highlight w:val="yellow"/>
        </w:rPr>
        <w:t xml:space="preserve">, quinhentos e </w:t>
      </w:r>
      <w:r>
        <w:rPr>
          <w:rFonts w:hint="default"/>
          <w:i w:val="0"/>
          <w:iCs w:val="0"/>
          <w:color w:val="auto"/>
          <w:sz w:val="24"/>
          <w:szCs w:val="24"/>
          <w:highlight w:val="yellow"/>
          <w:lang w:val="pt-BR"/>
        </w:rPr>
        <w:t>oito</w:t>
      </w:r>
      <w:r>
        <w:rPr>
          <w:rFonts w:hint="default"/>
          <w:i w:val="0"/>
          <w:iCs w:val="0"/>
          <w:color w:val="auto"/>
          <w:sz w:val="24"/>
          <w:szCs w:val="24"/>
          <w:highlight w:val="yellow"/>
        </w:rPr>
        <w:t xml:space="preserve"> reais e </w:t>
      </w:r>
      <w:r>
        <w:rPr>
          <w:rFonts w:hint="default"/>
          <w:i w:val="0"/>
          <w:iCs w:val="0"/>
          <w:color w:val="auto"/>
          <w:sz w:val="24"/>
          <w:szCs w:val="24"/>
          <w:highlight w:val="yellow"/>
          <w:lang w:val="pt-BR"/>
        </w:rPr>
        <w:t xml:space="preserve">vinte </w:t>
      </w:r>
      <w:r>
        <w:rPr>
          <w:rFonts w:hint="default"/>
          <w:i w:val="0"/>
          <w:iCs w:val="0"/>
          <w:color w:val="auto"/>
          <w:sz w:val="24"/>
          <w:szCs w:val="24"/>
          <w:highlight w:val="yellow"/>
        </w:rPr>
        <w:t xml:space="preserve">e </w:t>
      </w:r>
      <w:r>
        <w:rPr>
          <w:rFonts w:hint="default"/>
          <w:i w:val="0"/>
          <w:iCs w:val="0"/>
          <w:color w:val="auto"/>
          <w:sz w:val="24"/>
          <w:szCs w:val="24"/>
          <w:highlight w:val="yellow"/>
          <w:lang w:val="pt-BR"/>
        </w:rPr>
        <w:t xml:space="preserve">três </w:t>
      </w:r>
      <w:r>
        <w:rPr>
          <w:rFonts w:hint="default"/>
          <w:i w:val="0"/>
          <w:iCs w:val="0"/>
          <w:color w:val="auto"/>
          <w:sz w:val="24"/>
          <w:szCs w:val="24"/>
          <w:highlight w:val="yellow"/>
        </w:rPr>
        <w:t>centavos</w:t>
      </w:r>
      <w:r>
        <w:rPr>
          <w:i w:val="0"/>
          <w:iCs w:val="0"/>
          <w:color w:val="auto"/>
          <w:sz w:val="24"/>
          <w:szCs w:val="24"/>
          <w:highlight w:val="yellow"/>
        </w:rPr>
        <w:t xml:space="preserve">, conforme custos unitários apostos na tabela em anexo </w:t>
      </w:r>
    </w:p>
    <w:p>
      <w:pPr>
        <w:pStyle w:val="103"/>
        <w:spacing w:after="288" w:afterLines="120" w:line="312" w:lineRule="auto"/>
        <w:ind w:firstLine="709"/>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firstLine="709"/>
        <w:rPr>
          <w:sz w:val="24"/>
          <w:szCs w:val="24"/>
        </w:rPr>
      </w:pPr>
      <w:r>
        <w:rPr>
          <w:rFonts w:eastAsia="Arial"/>
          <w:sz w:val="24"/>
          <w:szCs w:val="24"/>
        </w:rPr>
        <w:t>As despesas decorrentes da presente contratação correrão à conta de recursos específicos consignados no Orçamento Geral do Município.</w:t>
      </w:r>
    </w:p>
    <w:bookmarkEnd w:id="0"/>
    <w:p>
      <w:pPr>
        <w:pStyle w:val="56"/>
        <w:numPr>
          <w:ilvl w:val="0"/>
          <w:numId w:val="0"/>
        </w:numPr>
        <w:spacing w:after="288" w:afterLines="120" w:line="312" w:lineRule="auto"/>
        <w:rPr>
          <w:i/>
          <w:iCs/>
          <w:color w:val="FF0000"/>
          <w:sz w:val="24"/>
          <w:szCs w:val="24"/>
        </w:rPr>
      </w:pPr>
    </w:p>
    <w:p>
      <w:pPr>
        <w:pStyle w:val="56"/>
        <w:numPr>
          <w:ilvl w:val="0"/>
          <w:numId w:val="0"/>
        </w:numPr>
        <w:spacing w:after="288" w:afterLines="120" w:line="312" w:lineRule="auto"/>
        <w:rPr>
          <w:color w:val="auto"/>
          <w:sz w:val="24"/>
          <w:szCs w:val="24"/>
        </w:rPr>
      </w:pPr>
      <w:r>
        <w:rPr>
          <w:rFonts w:hint="default"/>
          <w:color w:val="auto"/>
          <w:sz w:val="24"/>
          <w:szCs w:val="24"/>
          <w:highlight w:val="yellow"/>
          <w:lang w:val="pt-BR"/>
        </w:rPr>
        <w:t>Arcos</w:t>
      </w:r>
      <w:r>
        <w:rPr>
          <w:color w:val="auto"/>
          <w:sz w:val="24"/>
          <w:szCs w:val="24"/>
          <w:highlight w:val="yellow"/>
        </w:rPr>
        <w:t xml:space="preserve">, </w:t>
      </w:r>
      <w:r>
        <w:rPr>
          <w:rFonts w:hint="default"/>
          <w:color w:val="auto"/>
          <w:sz w:val="24"/>
          <w:szCs w:val="24"/>
          <w:highlight w:val="yellow"/>
          <w:lang w:val="pt-BR"/>
        </w:rPr>
        <w:t>02</w:t>
      </w:r>
      <w:r>
        <w:rPr>
          <w:color w:val="auto"/>
          <w:sz w:val="24"/>
          <w:szCs w:val="24"/>
          <w:highlight w:val="yellow"/>
        </w:rPr>
        <w:t xml:space="preserve"> de </w:t>
      </w:r>
      <w:r>
        <w:rPr>
          <w:rFonts w:hint="default"/>
          <w:color w:val="auto"/>
          <w:sz w:val="24"/>
          <w:szCs w:val="24"/>
          <w:highlight w:val="yellow"/>
          <w:lang w:val="pt-BR"/>
        </w:rPr>
        <w:t xml:space="preserve">outubro </w:t>
      </w:r>
      <w:r>
        <w:rPr>
          <w:color w:val="auto"/>
          <w:sz w:val="24"/>
          <w:szCs w:val="24"/>
          <w:highlight w:val="yellow"/>
        </w:rPr>
        <w:t xml:space="preserve"> de </w:t>
      </w:r>
      <w:r>
        <w:rPr>
          <w:rFonts w:hint="default"/>
          <w:color w:val="auto"/>
          <w:sz w:val="24"/>
          <w:szCs w:val="24"/>
          <w:highlight w:val="yellow"/>
          <w:lang w:val="pt-BR"/>
        </w:rPr>
        <w:t>2023</w:t>
      </w:r>
      <w:r>
        <w:rPr>
          <w:color w:val="auto"/>
          <w:sz w:val="24"/>
          <w:szCs w:val="24"/>
          <w:highlight w:val="yellow"/>
        </w:rPr>
        <w:t>.</w:t>
      </w:r>
    </w:p>
    <w:p>
      <w:pPr>
        <w:pStyle w:val="56"/>
        <w:numPr>
          <w:ilvl w:val="0"/>
          <w:numId w:val="0"/>
        </w:numPr>
        <w:spacing w:after="288" w:afterLines="120" w:line="312" w:lineRule="auto"/>
        <w:rPr>
          <w:i/>
          <w:iCs/>
          <w:color w:val="auto"/>
          <w:sz w:val="24"/>
          <w:szCs w:val="24"/>
        </w:rPr>
      </w:pPr>
    </w:p>
    <w:p>
      <w:pPr>
        <w:spacing w:before="120" w:after="288" w:afterLines="120" w:line="312" w:lineRule="auto"/>
        <w:ind w:left="357"/>
        <w:jc w:val="center"/>
        <w:rPr>
          <w:rFonts w:ascii="Arial" w:hAnsi="Arial" w:eastAsia="Arial" w:cs="Arial"/>
        </w:rPr>
      </w:pPr>
      <w:r>
        <w:rPr>
          <w:rFonts w:ascii="Arial" w:hAnsi="Arial" w:eastAsia="Arial" w:cs="Arial"/>
        </w:rPr>
        <w:t>__________________________________</w:t>
      </w:r>
    </w:p>
    <w:p>
      <w:pPr>
        <w:spacing w:before="120" w:after="288" w:afterLines="120" w:line="312" w:lineRule="auto"/>
        <w:ind w:left="360"/>
        <w:jc w:val="center"/>
        <w:rPr>
          <w:rFonts w:hint="default" w:ascii="Arial" w:hAnsi="Arial" w:cs="Arial"/>
          <w:lang w:val="pt-BR"/>
        </w:rPr>
      </w:pPr>
      <w:r>
        <w:rPr>
          <w:rFonts w:hint="default" w:ascii="Arial" w:hAnsi="Arial" w:eastAsia="Arial" w:cs="Arial"/>
          <w:highlight w:val="yellow"/>
          <w:lang w:val="pt-BR"/>
        </w:rPr>
        <w:t>S</w:t>
      </w:r>
      <w:r>
        <w:rPr>
          <w:rFonts w:ascii="Arial" w:hAnsi="Arial" w:eastAsia="Arial" w:cs="Arial"/>
          <w:highlight w:val="yellow"/>
        </w:rPr>
        <w:t xml:space="preserve">ecretario </w:t>
      </w:r>
      <w:r>
        <w:rPr>
          <w:rFonts w:hint="default" w:ascii="Arial" w:hAnsi="Arial" w:eastAsia="Arial" w:cs="Arial"/>
          <w:highlight w:val="yellow"/>
          <w:lang w:val="pt-BR"/>
        </w:rPr>
        <w:t>M</w:t>
      </w:r>
      <w:r>
        <w:rPr>
          <w:rFonts w:ascii="Arial" w:hAnsi="Arial" w:eastAsia="Arial" w:cs="Arial"/>
          <w:highlight w:val="yellow"/>
        </w:rPr>
        <w:t>unicipal</w:t>
      </w:r>
      <w:r>
        <w:rPr>
          <w:rFonts w:hint="default" w:ascii="Arial" w:hAnsi="Arial" w:eastAsia="Arial" w:cs="Arial"/>
          <w:highlight w:val="yellow"/>
          <w:lang w:val="pt-BR"/>
        </w:rPr>
        <w:t xml:space="preserve"> de Governo e Planejamento.</w:t>
      </w: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Ecofont_Spranq_eco_Sans">
    <w:altName w:val="Calibri"/>
    <w:panose1 w:val="00000000000000000000"/>
    <w:charset w:val="00"/>
    <w:family w:val="swiss"/>
    <w:pitch w:val="default"/>
    <w:sig w:usb0="00000000" w:usb1="00000000" w:usb2="00000000" w:usb3="00000000" w:csb0="00000001"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1025" o:spid="_x0000_s1025" o:spt="75" type="#_x0000_t75" style="position:absolute;left:0pt;margin-left:107.1pt;margin-top:0.5pt;height:50.7pt;width:293.85pt;mso-wrap-distance-bottom:0pt;mso-wrap-distance-top:0pt;z-index:251659264;mso-width-relative:page;mso-height-relative:page;" filled="f" o:preferrelative="t" stroked="f" coordsize="21600,21600">
          <v:path/>
          <v:fill on="f" focussize="0,0"/>
          <v:stroke on="f" joinstyle="miter"/>
          <v:imagedata r:id="rId1" o:title=""/>
          <o:lock v:ext="edit" aspectratio="t"/>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doNotUseIndentAsNumberingTabStop/>
    <w:compatSetting w:name="compatibilityMode" w:uri="http://schemas.microsoft.com/office/word" w:val="12"/>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5614A23"/>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1A2EEF"/>
    <w:rsid w:val="77392A14"/>
    <w:rsid w:val="77467F07"/>
    <w:rsid w:val="77E0AB9D"/>
    <w:rsid w:val="788D7F63"/>
    <w:rsid w:val="78A308E5"/>
    <w:rsid w:val="78F9E42E"/>
    <w:rsid w:val="79546C12"/>
    <w:rsid w:val="7A70CAD6"/>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43F61" w:themeColor="accent1" w:themeShade="7F"/>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66091"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43F61" w:themeColor="accent1" w:themeShade="7F"/>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7">
    <w:name w:val="List Bullet 5"/>
    <w:basedOn w:val="1"/>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66091"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rPr>
  </w:style>
  <w:style w:type="character" w:customStyle="1" w:styleId="41">
    <w:name w:val="Título Char"/>
    <w:basedOn w:val="7"/>
    <w:link w:val="16"/>
    <w:qFormat/>
    <w:uiPriority w:val="0"/>
    <w:rPr>
      <w:rFonts w:asciiTheme="majorHAnsi" w:hAnsiTheme="majorHAnsi" w:eastAsiaTheme="majorEastAsia" w:cstheme="majorBidi"/>
      <w:color w:val="17365D"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65D"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66091"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43F61" w:themeColor="accent1" w:themeShade="7F"/>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43F61" w:themeColor="accent1" w:themeShade="7F"/>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Table Paragraph"/>
    <w:basedOn w:val="1"/>
    <w:qFormat/>
    <w:uiPriority w:val="1"/>
  </w:style>
  <w:style w:type="character" w:customStyle="1" w:styleId="118">
    <w:name w:val="a-size-larg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65CDB-1419-435A-AC24-1D47985E0D45}">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7C541C99-BA1C-408F-8BE9-FD886FF1D685}">
  <ds:schemaRefs/>
</ds:datastoreItem>
</file>

<file path=customXml/itemProps6.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43</TotalTime>
  <ScaleCrop>false</ScaleCrop>
  <LinksUpToDate>false</LinksUpToDate>
  <CharactersWithSpaces>30501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mandrade</cp:lastModifiedBy>
  <cp:lastPrinted>2023-10-16T17:51:34Z</cp:lastPrinted>
  <dcterms:modified xsi:type="dcterms:W3CDTF">2023-10-16T19:27:36Z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1046-11.2.0.11516</vt:lpwstr>
  </property>
  <property fmtid="{D5CDD505-2E9C-101B-9397-08002B2CF9AE}" pid="5" name="ICV">
    <vt:lpwstr>8F0A2B39BCD94C1888EBF78BFAD5C6FF</vt:lpwstr>
  </property>
</Properties>
</file>