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E" w:rsidRDefault="00685E07">
      <w:pPr>
        <w:pStyle w:val="Ttulo6"/>
        <w:spacing w:before="100" w:beforeAutospacing="1" w:after="100" w:afterAutospacing="1"/>
        <w:rPr>
          <w:b/>
          <w:sz w:val="36"/>
        </w:rPr>
      </w:pPr>
      <w:r>
        <w:rPr>
          <w:b/>
          <w:sz w:val="36"/>
        </w:rPr>
        <w:t>TERMO DE REFERÊNCIA (BENS)</w:t>
      </w:r>
    </w:p>
    <w:p w:rsidR="008F755E" w:rsidRDefault="008F755E"/>
    <w:p w:rsidR="008F755E" w:rsidRDefault="00685E07">
      <w:pPr>
        <w:pStyle w:val="Ttulo7"/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  <w:lang w:val="pt-BR"/>
        </w:rPr>
        <w:t>: Secretaria Municipal de Governo</w:t>
      </w:r>
    </w:p>
    <w:p w:rsidR="008F755E" w:rsidRDefault="008F755E">
      <w:pPr>
        <w:spacing w:after="120"/>
        <w:rPr>
          <w:rFonts w:ascii="Arial" w:hAnsi="Arial" w:cs="Arial"/>
        </w:rPr>
      </w:pPr>
    </w:p>
    <w:p w:rsidR="008F755E" w:rsidRDefault="00685E0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>: Departamento de Licitação</w:t>
      </w:r>
    </w:p>
    <w:p w:rsidR="008F755E" w:rsidRDefault="008F755E">
      <w:pPr>
        <w:spacing w:after="120"/>
        <w:rPr>
          <w:rFonts w:ascii="Arial" w:hAnsi="Arial" w:cs="Arial"/>
        </w:rPr>
      </w:pPr>
    </w:p>
    <w:p w:rsidR="008F755E" w:rsidRDefault="00685E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Encaminhamento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Pregoeira</w:t>
      </w:r>
      <w:proofErr w:type="spellEnd"/>
      <w:r>
        <w:rPr>
          <w:rFonts w:ascii="Arial" w:hAnsi="Arial" w:cs="Arial"/>
        </w:rPr>
        <w:t xml:space="preserve"> Ou Presidente Da Comissão Permanente Da Licitação</w:t>
      </w:r>
    </w:p>
    <w:p w:rsidR="008F755E" w:rsidRDefault="008F755E">
      <w:pPr>
        <w:spacing w:after="120"/>
        <w:rPr>
          <w:rFonts w:ascii="Arial" w:hAnsi="Arial" w:cs="Arial"/>
        </w:rPr>
      </w:pP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  <w:bCs/>
        </w:rPr>
        <w:t xml:space="preserve">: Aquisição de materiais, acessórios, periféricos, equipamentos de informática e software e equipamentos para </w:t>
      </w:r>
      <w:r>
        <w:rPr>
          <w:rFonts w:ascii="Arial" w:hAnsi="Arial" w:cs="Arial"/>
        </w:rPr>
        <w:t>programa de vigi</w:t>
      </w:r>
      <w:r>
        <w:rPr>
          <w:rFonts w:ascii="Arial" w:hAnsi="Arial" w:cs="Arial"/>
        </w:rPr>
        <w:t>lâ</w:t>
      </w:r>
      <w:r>
        <w:rPr>
          <w:rFonts w:ascii="Arial" w:hAnsi="Arial" w:cs="Arial"/>
        </w:rPr>
        <w:t xml:space="preserve">ncia denominado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lho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ivo de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rcos</w:t>
      </w:r>
      <w:r>
        <w:rPr>
          <w:rFonts w:ascii="Arial" w:hAnsi="Arial" w:cs="Arial"/>
          <w:bCs/>
        </w:rPr>
        <w:t>, sendo solicitado pela Secretaria Municipal de Governo.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Objeto</w:t>
      </w:r>
      <w:r>
        <w:rPr>
          <w:rFonts w:ascii="Arial" w:hAnsi="Arial" w:cs="Arial"/>
          <w:bCs/>
        </w:rPr>
        <w:t xml:space="preserve">: Formalização de </w:t>
      </w:r>
      <w:r>
        <w:rPr>
          <w:rFonts w:ascii="Arial" w:hAnsi="Arial" w:cs="Arial"/>
          <w:b/>
          <w:color w:val="000000" w:themeColor="text1"/>
        </w:rPr>
        <w:t>Processo Lici</w:t>
      </w:r>
      <w:r>
        <w:rPr>
          <w:rFonts w:ascii="Arial" w:hAnsi="Arial" w:cs="Arial"/>
          <w:b/>
          <w:color w:val="000000" w:themeColor="text1"/>
        </w:rPr>
        <w:t xml:space="preserve">tatório (Modalidade Pertinente) </w:t>
      </w:r>
      <w:r>
        <w:rPr>
          <w:rFonts w:ascii="Arial" w:hAnsi="Arial" w:cs="Arial"/>
          <w:bCs/>
          <w:color w:val="000000" w:themeColor="text1"/>
        </w:rPr>
        <w:t>para Aquisição</w:t>
      </w:r>
      <w:r w:rsidR="00A232B3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</w:rPr>
        <w:t xml:space="preserve">de materiais, acessórios, periféricos, equipamentos de informática e software e equipamentos para </w:t>
      </w:r>
      <w:r>
        <w:rPr>
          <w:rFonts w:ascii="Arial" w:hAnsi="Arial" w:cs="Arial"/>
        </w:rPr>
        <w:t>programa de vigi</w:t>
      </w:r>
      <w:r>
        <w:rPr>
          <w:rFonts w:ascii="Arial" w:hAnsi="Arial" w:cs="Arial"/>
        </w:rPr>
        <w:t>lâ</w:t>
      </w:r>
      <w:r>
        <w:rPr>
          <w:rFonts w:ascii="Arial" w:hAnsi="Arial" w:cs="Arial"/>
        </w:rPr>
        <w:t xml:space="preserve">ncia denominado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lho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ivo de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rcos</w:t>
      </w:r>
      <w:r>
        <w:rPr>
          <w:rFonts w:ascii="Arial" w:hAnsi="Arial" w:cs="Arial"/>
          <w:bCs/>
        </w:rPr>
        <w:t>, sendo solicitado pela Secretaria Municipal de Governo.</w:t>
      </w:r>
    </w:p>
    <w:p w:rsidR="008F755E" w:rsidRDefault="00685E0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</w:rPr>
        <w:t>Justificativa</w:t>
      </w:r>
      <w:r>
        <w:rPr>
          <w:rFonts w:ascii="Arial" w:eastAsia="Arial Unicode MS" w:hAnsi="Arial" w:cs="Arial"/>
        </w:rPr>
        <w:t xml:space="preserve">: A formalização do processo tem por objetivo a aquisição de materiais, acessórios, periféricos, equipamentos de informática e software e equipamentos para </w:t>
      </w:r>
      <w:r>
        <w:rPr>
          <w:rFonts w:ascii="Arial" w:hAnsi="Arial" w:cs="Arial"/>
        </w:rPr>
        <w:t>programa de vigi</w:t>
      </w:r>
      <w:r>
        <w:rPr>
          <w:rFonts w:ascii="Arial" w:hAnsi="Arial" w:cs="Arial"/>
        </w:rPr>
        <w:t>lâ</w:t>
      </w:r>
      <w:r>
        <w:rPr>
          <w:rFonts w:ascii="Arial" w:hAnsi="Arial" w:cs="Arial"/>
        </w:rPr>
        <w:t xml:space="preserve">ncia denominado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lho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ivo de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rcos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hAnsi="Arial" w:cs="Arial"/>
          <w:bCs/>
        </w:rPr>
        <w:t xml:space="preserve">sendo solicitado pela Secretaria </w:t>
      </w:r>
      <w:r>
        <w:rPr>
          <w:rFonts w:ascii="Arial" w:hAnsi="Arial" w:cs="Arial"/>
          <w:bCs/>
        </w:rPr>
        <w:t xml:space="preserve">Municipal de Governo. A aquisição se faz </w:t>
      </w:r>
      <w:proofErr w:type="gramStart"/>
      <w:r>
        <w:rPr>
          <w:rFonts w:ascii="Arial" w:hAnsi="Arial" w:cs="Arial"/>
          <w:bCs/>
        </w:rPr>
        <w:t>necessária</w:t>
      </w:r>
      <w:proofErr w:type="gramEnd"/>
      <w:r>
        <w:rPr>
          <w:rFonts w:ascii="Arial" w:hAnsi="Arial" w:cs="Arial"/>
          <w:bCs/>
        </w:rPr>
        <w:t xml:space="preserve"> para que a cidade de Arcos/MG possa ampliar o monitoramento e </w:t>
      </w:r>
      <w:proofErr w:type="spellStart"/>
      <w:r>
        <w:rPr>
          <w:rFonts w:ascii="Arial" w:hAnsi="Arial" w:cs="Arial"/>
          <w:bCs/>
        </w:rPr>
        <w:t>consequência</w:t>
      </w:r>
      <w:proofErr w:type="spellEnd"/>
      <w:r>
        <w:rPr>
          <w:rFonts w:ascii="Arial" w:hAnsi="Arial" w:cs="Arial"/>
          <w:bCs/>
        </w:rPr>
        <w:t xml:space="preserve"> para a segurança de toda a população.</w:t>
      </w:r>
    </w:p>
    <w:p w:rsidR="008F755E" w:rsidRDefault="008F755E">
      <w:pPr>
        <w:spacing w:after="120"/>
        <w:jc w:val="both"/>
        <w:rPr>
          <w:rFonts w:ascii="Arial" w:eastAsia="Arial Unicode MS" w:hAnsi="Arial" w:cs="Arial"/>
          <w:b/>
        </w:rPr>
      </w:pPr>
    </w:p>
    <w:p w:rsidR="008F755E" w:rsidRDefault="00685E07">
      <w:pPr>
        <w:spacing w:after="120"/>
        <w:ind w:left="-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Da Especificação do Objeto para Aquisição de materiais, acessórios, periféricos, equipamen</w:t>
      </w:r>
      <w:r>
        <w:rPr>
          <w:rFonts w:ascii="Arial" w:eastAsia="Arial Unicode MS" w:hAnsi="Arial" w:cs="Arial"/>
          <w:b/>
        </w:rPr>
        <w:t xml:space="preserve">tos de informática e software e equipamentos para sistema do projeto de monitoramento de </w:t>
      </w:r>
      <w:proofErr w:type="spellStart"/>
      <w:r>
        <w:rPr>
          <w:rFonts w:ascii="Arial" w:eastAsia="Arial Unicode MS" w:hAnsi="Arial" w:cs="Arial"/>
          <w:b/>
        </w:rPr>
        <w:t>olho-</w:t>
      </w:r>
      <w:proofErr w:type="gramStart"/>
      <w:r>
        <w:rPr>
          <w:rFonts w:ascii="Arial" w:eastAsia="Arial Unicode MS" w:hAnsi="Arial" w:cs="Arial"/>
          <w:b/>
        </w:rPr>
        <w:t>vivo</w:t>
      </w:r>
      <w:proofErr w:type="spellEnd"/>
      <w:proofErr w:type="gramEnd"/>
      <w:r>
        <w:rPr>
          <w:rFonts w:ascii="Arial" w:eastAsia="Arial Unicode MS" w:hAnsi="Arial" w:cs="Arial"/>
          <w:b/>
        </w:rPr>
        <w:t xml:space="preserve"> de Arcos/MG: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5407"/>
        <w:gridCol w:w="1090"/>
        <w:gridCol w:w="1745"/>
      </w:tblGrid>
      <w:tr w:rsidR="00A232B3" w:rsidTr="00A232B3">
        <w:trPr>
          <w:trHeight w:val="50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40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745" w:type="dxa"/>
            <w:vAlign w:val="center"/>
          </w:tcPr>
          <w:p w:rsidR="00A232B3" w:rsidRDefault="00A232B3" w:rsidP="00A232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Apresent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ação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 CÂMERAS DEVERÃO TER AS ESPECIFICAÇÕES, NO MÍNIMO, COM AS SEGUINTES TECNOLOGIAS- CÂMERAS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HIKVISION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Campo de visão horizontal: 57,6 ° a 2,5 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Wide-Tele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Campo de visão vertical: 34,4 ° a 1,4 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Wide-Tele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Campo de visão diagonal: 64,5 ° a 2,9 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Wide-Tele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Velocidade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ZoomAproximadamente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3,6 s (lente ótica,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grande-tele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Distância De Trabalho10 mm a 1500 mm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wide-tele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Faixa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AberturaF1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.6 a F3.5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Comprimento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Focal4,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8 mm a 120 mm, zoom óptico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 25 ×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Imagem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Melhoria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ImagemHLC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BLC / 3D DNR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Desembaciamento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EIS / Exposição regional / Foco regional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 Sub-Stream 50 Hz: 25 fps (704 × 576, 640 × 480, 352 × 288) 60 Hz: 30 fps (704 × 480, 640 × 480, 352 × 240)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Máx. Resolução1920 × 1080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Convencional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Hz: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(1920 ×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1080, 1280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× 960, 1280 × 720) 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(1280 × 960, 1280 × 720) 60 Hz: 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(1920 × 1080, 1280 × 960, 1280 × 720)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(1280 × 960, 1280 × 720)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Terceira Corrente 50 Hz: 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(1920 ×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1080, 1280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× 960, 1280 × 720, 704 × 576, 640 × 480, 352 × 288) 60 Hz: 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(1920 × 1080, 1280 × 960, 1280 × 720, 704 × 480, 640 × 480, 352 × 240)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Rede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Armazenamento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RedeSlot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cartão de memória embutido, suporte Micro SD / SDHC / SDXC, até 256 GB; NAS (NPS, SMB / CIPS), ANR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ProtocolosIPv4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IPv6, HTTP, HTTPS, 802.1x,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FTP, SMTP,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SNMP, DNS, DDNS, NTP, RTSP, RTCP, RTP, TCP / IP, UDP, IGMP, ICMP, DHCP,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PPPoE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Bonjour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APIONVIF (Perfil S, Perfil G, Perfil T), ISAPI, SDK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Visualização Ao Vivo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SimultâneaAté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 canais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Usuário / Host Até 32 usuários -3 níveis: Administrador, Operador e Usuário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ClienteiVMS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-4200,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-4500,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-5200,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Hik-Connect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Navegador Da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WebIE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 a 11,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Chrome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31.0+, Firefox 30.0+,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16.16299+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Medidas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SegurançaAutenticação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usuário (ID e PW), autenticação de host (endereço MAC); Criptografia HTTPS; Controle de acesso à rede baseado em porta IEEE 802.1x; Filtragem de endereço IP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Interface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Entrada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ÁudioEntrada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áudio de 1 canal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Saída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ÁudioSaída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áudio de 1 canal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Interface De Rede1 Ethernet RJ45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 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/100 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(802.3 em, classe 4)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Padrão De Compressão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H.265 +Apoiar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Tipo H.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264Perfil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linha de base / Perfil principal / Perfil alto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Compressão De Vídeo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principal: H.265 + / H.265 / H.264 + / H.264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Sub-stream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H.265 / H.264 / MJPEG Terceiro fluxo: H.265 / H.264 / MJPEG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Tipo H.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265Perfil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linha de base / Perfil principal / Perfil alto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Taxa De Bits De Vídeo32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16384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Kbps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• Compressão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ÁudioG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.711alaw / G.711ulaw / G.722.1 / G.726 / MP2L2 / PCM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Módulo De Câmera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Sensor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ImagemCMOS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varredura progressiva de 1 / 2,8 "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Min. Iluminação Cor: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005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@ (F1.6, AGC LIGADO) P / B: 0,001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@ (F1.6, AGC LIGADO) 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IR • Balanço De Branco Auto / Manual / ATW (Auto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White Balance) / Interior / Exterior / Lâmpada fluorescente / Lâmpada de sódio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Ganho Auto / Manual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Tempo Do Obturador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50Hz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1/1 s a 1 / 30.000 s 60Hz: 1/1 s a 1 / 30.000 s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Dia Noite Filtro de Corte IR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Zoom Digital16 ×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Máscara De Privacidade24 máscaras de privacidade programáveis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Modo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Fóco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Auto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Semiautomático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Manual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WDR120 dB WDR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Suplemento Luz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Zoom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ProporcionalApoiar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Presets300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Varredura De Patrulha8 patrulhas, até 32 predefinições para cada patrulha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Varredura De Padrão4 varreduras de padrão, tempo de registro de mais de 10 minutos para cada varredura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Memória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DesligamentoApoiar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Park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ActionPredefinição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Varredura de padrão / Varredura de patrulha / Varredura automática / Varredura de inclinação / Varredura aleatória / Varredura de quadro / Varredura de panorama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Posicionamento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3DApoiar</w:t>
            </w:r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Congelamento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PredefinidoApoiar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Tarefa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AgendadaPredefinição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 Varredura de padrão / Varredura de patrulha / Varredura automática / Varredura de inclinação / Varredura aleatória / Varredura de quadro / Varredura de panorama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Reinicialização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domo / Ajuste de domo / Saída auxiliar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Recursos Inteligentes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Detecção De Eventos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BásicosDetecção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movimento, detecção de adulteração de vídeo, exceção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Detecção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InteligenteDetecção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intrusão, detecção de cruzamento de linha, detecção de entrada de região, detecção de saída de região, detecção de remoção de objeto, detecção de bagagem não supervisionada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Registro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InteligenteANR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(Reposição Automática de Rede),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Dual-VCA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ROIO fluxo principal,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subfluxo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o terceiro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Referência: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HIKVISION DS-2DE5230IW-AE OU SUPERIOR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Conforme Decreto Municipal nº 4.792 – 20/11/2018 de padronização do sistema e das câmeras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5407" w:type="dxa"/>
            <w:noWrap/>
            <w:vAlign w:val="center"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 CÂMERAS LPR DEVERÃO TER AS ESPECIFICAÇÕES, NO MÍNIMO, COM AS SEGUINTES TECNOLOGIAS- CÂMERAS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HIKVISION :</w:t>
            </w:r>
            <w:proofErr w:type="gramEnd"/>
          </w:p>
          <w:p w:rsidR="00A232B3" w:rsidRDefault="00A232B3" w:rsidP="00887BD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ser capaz de realizar a leitura dos caracteres de placas de veículos com velocidade de no mínimo 140 km/h;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Dispor de tempo de obturador ajustável entre 1/5 para 1/10000 s;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ser capaz de realizar a leitura dos caracteres de placas de veículos de no mínimo 20 metros de distância da câmera;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ser capaz de realizar a leitura dos caracteres de placas de veículos em 02 pistas simultaneamente;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Possuir sensor de imagem em estado sólido do tipo CMOS ou CCD de 1/1.9 de polegada ou maior e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escaneamento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progressivo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Possuir resolução de 1920 x 1080 pixels a 30 FPS 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fluxos de vídeo e 60 FPS com fluxo único;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Possuir lente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varifocal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P-Iris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12 a 40 mm com correção de IR e proporcionar ângulo de visualização de 10,2º à 30º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horizontal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8º ~ 22º vertical e 12º ~ 38º diagonal;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Possuir tecnologia WDR;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 Possuir funções Pan/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/Zoom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ePTZ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 48x digital zoom (4x no plug-in IE, 12x embutido);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Possuir capacidade de armazenamento local através de SD/SDHC/SDXC;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Dispor de formatos de compressão H.264 e MJPEG;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Permitir a configuração de 02 fluxos de vídeo independentes;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Dispor de configurações de imagem (carimbo de hora, sobreposição de texto, virar e espelhar, brilho configurável, contraste, saturação, nitidez, equilíbrio de brancos, controlo da exposição, ganho, retro iluminação, compensação, máscaras de privacidade, redução do ruído 3D, DIS, rotação de vídeo, foco instantâneo e modo de cena);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Possuir capacidade de acesso simultâneo até 10 usuários;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Suportar os protocolos: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IPv4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TCP/IP, HTTP, HTTPS,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RTSP/RTP/RTCP, IGMP, SMTP, FTP, DHCP, NTP, DNS, DDNS,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PPPoE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SNMP, 802.1x, UDP, ICMP, ARP, SSL, TLS;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Possuir saída UTP para conexão em rede TCP/IP RJ-45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100Base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-TX conector RJ-45;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Dispor de arquitetura aberta para integração com outros sistemas e ser compatível com ONVIF;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Possuir gatilhos em caso de detecção de movimento, disparo manual, disparo programado, inicialização do sistema, notificação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disco/cartão cheio, violação da câmera, detecção de áudio e Status do Infravermelho;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Permite geração de alarmes por notificação de evento usando saída digital, HTTP, SMTP, FTP, servidor NAS 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SDCard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upload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arquivos via HTTP, SMTP, FTP, NAS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servers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SDCard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Dispor de capacidade de áudio bidirecional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duplex) e compressão AAC, G.711, G.726 com interface de entrada de microfone externo;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Possuir certificados de segurança CE, FCC, UL;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suportar temperaturas de trabalho compreendidas entre -20º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 ~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60ºC;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Possuir alimentação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24v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 ou DC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(IEEE 802.3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acompanhar fonte de alimentação compatível com a câmera;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acompanhar caixa protetora de câmera, com garantia de 01 ano, com os seguintes requisitos: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-Ser em caixa de alumínio;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-Possuir proteção a prova de água IP68;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-Possuir proteção a prova de vandalismo IK10;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-Suportar temperatura de funcionamento -20º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 ~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65ºC;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-Dispor de suporte de fixação;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Garantia de no mínimo 03 anos pelo fabricante;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Observação: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A Contratada deverá apresentar folha de especificações do equipamento ofertado, especificado acima ou superior;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>Deve possuir homologação no sistema VMS atual da contratada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Digifort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Enterprise versão 7.3 ou superior).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Referencia :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</w:rPr>
              <w:t>iDS</w:t>
            </w:r>
            <w:proofErr w:type="spellEnd"/>
            <w:r>
              <w:rPr>
                <w:rFonts w:ascii="Arial" w:hAnsi="Arial" w:cs="Arial"/>
                <w:b/>
                <w:bCs/>
              </w:rPr>
              <w:t>-TCM403-AI/0832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superior.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Conforme Decreto Municipal nº 4.792 – 20/11/2018 de padronização do sistema e das câmeras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CAIXAS DE VEDAÇÃO DEVERÃO TER NO MÍNIMO AS SEGUINTES ESPECIFICAÇÕES: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Caixa/Quadro de Comando 500x400x200 COM Flange Caixa Montagem Painel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Modelo: COM FLANGE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Material: AÇO CARBONO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Cor: CINZA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Dimensões produto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AxLxP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): 50 x 40 x 20 cm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Peso: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500 Kg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Peso em gramas: 7500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grau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proteção: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66 - aço carbono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1008/1010 - fecho padrão com acionamento fenda - pintura eletrostática em pó - cor do quadro: cinza - cor da placa: laranja - quadro e portas espessura 0,75 mm - placa de montagem com espessura 1,2 mm - sistema de fechamento não corta a borracha de vedação.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MESA CONTROLADORA PARA SISTEMA DIGIFORT MODELO DE REFERÊNCIA: DGF-KB1000 DIGIFORT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MESA CONTROLADORA - APLICACAO: SPEED DOME; DISPLAY: EM LCD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POLEGADAS (16 X 2 LINHAS); CONFIGURACAO: ATRAVES DE JOYSTICK TIPO 3 EIXOS HFX; CONTROLE: DE ATE 32 SPEED DOMES E DE MULTIPLEXADORES; COMUNICACAO: RS-485/232 BAUD RATE 2400~230KBPS(PADRAO 9600BPS); ALIMENTACAO: 12 VCC;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DGFKB1000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Observação: 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padronização do Sistema Informatizado será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DIGIFORT -licença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(s), Pack(s), Módulo(s) e Upgrade(s).Conforme Decreto Municipal nº 4.792 – 20/11/2018 de padronização do sistema e das câmeras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videomonitoramento</w:t>
            </w:r>
            <w:proofErr w:type="spellEnd"/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CABO HDMI – 15M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Tipo: Cabo HDMI para HDMI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-Tamanho de 15 metros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-Conector de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19 pinos banhados a ouro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Cabo com filtro e blindagem, garantindo maior durabilidade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-Compatível com proporção de cinema 21:9 – Versão HDMI: 2.0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Compatível com cabos HDMI anteriores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1.4 e 1.3)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-Suporta resolução de 4k Ultra HD e compatível com tecnologia 3D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-CATMAT: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390337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LICENÇA SISTEMA DIGIFORT TIPO I Edição Enterprise para Windows Upgrade de licença Base de versões anteriores para a Versão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PART NUMBER: DGFUPVEN1008V7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Observação: 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padronização do Sistema Informatizado será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DIGIFORT -Licença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(s), Pack(s), Módulo(s) e Upgrade(s).Conforme Decreto Municipal nº 4.792 – 20/11/2018 de padronização do sistema e das câmeras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videomonitoramento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 MONITORES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Especificações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Curvatura da tela: 1000R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Proporção de Tela: 16:9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Brilho (Típico): 250cd/m2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Contraste Estático: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,000:1(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Resolução: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920 x 1,080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Tempo de resposta: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(GTG)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Detalhe de especificações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Tamanho de Tela (polegadas): 31.5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Tamanho da tela (cm): 80.1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Tamanho de Tela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32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Plano/curvo: Curvo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Área de Display Ativo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HxV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 (mm): 698.4x392.85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Curvatura da tela: 1000R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Proporção de Tela: 16:9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Tipo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lVA</w:t>
            </w:r>
            <w:proofErr w:type="spellEnd"/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Brilho (Típico): 250cd/m2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Brilho (mínimo): 200cd/m2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Contraste Estático: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,000:1(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Tipo de Contraste: Mega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Resolução: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1,920 x 1,080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Tempo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resposta: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4(GTG)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Ângulo de visão (horizontal / vertical)178°(H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/178°(V)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Suporte de Cor: Max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16.7M</w:t>
            </w:r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Gama de Cores (NTSC 1976) 0.806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Gama de cores (cobertura DCI) 0.88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Cobertura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sRGB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1.193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Cobertura Adobe RGB 0.884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Taxa de atualização: Máx. 75 Hz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Gerais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Eco Saving Plus: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Sim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Eye Saver Mode: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Sim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Flicker Free: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Sim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Modo Game: Sim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Certificação Windows: Windows 10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FreeSync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Sim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Off Timer Plus: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Sim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HDMI-CEC: Sim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Interface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Display sem fio: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D-Sub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DVI: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Dual Link DVI: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Display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Versão do Display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Saída Display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Mini-DisplayPort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HDMI: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Versão HDMI: 1.4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Entrada de áudio: Sim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Fones de ouvido: Sim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Portas USB: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USB-C: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Áudio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Alto-falante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Stereo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Soundbar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USB (pronto): Não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Condições Operacionais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Temperatura: 10</w:t>
            </w:r>
            <w:r>
              <w:rPr>
                <w:rFonts w:ascii="Cambria Math" w:hAnsi="Cambria Math" w:cs="Cambria Math"/>
                <w:sz w:val="22"/>
                <w:szCs w:val="22"/>
              </w:rPr>
              <w:t>℃</w:t>
            </w:r>
            <w:r>
              <w:rPr>
                <w:rFonts w:ascii="Arial" w:hAnsi="Arial" w:cs="Arial"/>
                <w:sz w:val="22"/>
                <w:szCs w:val="22"/>
              </w:rPr>
              <w:t>~ 40</w:t>
            </w:r>
            <w:r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Umidade: 10% ~ 80%, sem condensação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Calibração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Correção de uniformidade 0.75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Azul-escuro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acinzentado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Tipo de suporte Simples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Inclinável-3'(±2') ~ 20'(±2')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Alimentação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Alimentação de Energia: AC 100-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240V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50/60Hz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Consumo de Energia (DPMS): 0.3 W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Consumo de energia (modo desligado): 0.3 W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Tipo: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ExternalAdaptor</w:t>
            </w:r>
            <w:proofErr w:type="spellEnd"/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Dimensões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Dimensão do conjunto com suporte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LxAxP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): 708.8 x 514.4 x 271.7 mm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Dimensão do conjunto sem suporte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LxAxP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): 708.8 x 426.0 x 133.5 mm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Dimensões da embalagem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LxAxP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 x 242 x 520 mm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Peso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Peso do conjunto com suporte: 6.4 kg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Peso do conjunto sem suporte: 4.9 kg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Peso com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embalagem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9.3 kg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Acessórios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Comprimento do cabo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força1.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 m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 TV/MONITORES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SMART TV LED, 43 POLEGADAS FULL HD, COM CONVERSOR PARA TV DIGITAL INTEGRADO, BIVOLT E COM CONTROLE REMOTO. DIMENSÕES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APROXIMADAS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ALTURA 583 MM, LARGURA 976 MM, PROFUNDIDADE 81,5 MM, CLASSIFICAÇÃO ENERGÉTICA : CLASSE A EM CONSUMO DE ENERGIA.OU DE MELHOR QUALIDADE, ENTRADA HDMI/ VGA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 RACK DEVERÁ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 Kit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42us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1,90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altura ) x 60cm de largura x 60 cm de profundidade total na cor preta, porta frontal com visor de vidro temperado 5mm com fechadura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escamoteavel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abertura com porta traseira fecho tambor com chave laterais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remoção,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possivel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instalação de fechadura para maior segurança plano para fixação de equipamentos no padrão americano de 1/2 u numerados parafuso de aterramento na base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teto e fundo fechado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possivel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aberturas para passagem de cabos kit de 4 pés niveladores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ajustaveis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rodizio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rodas com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possivel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travamento atenção, acompanham no produto os seguintes itens; 3 bandejas fixas ventiladas 1 bandeja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para teclado e mouse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10 tomadas para 10a 3 guia de cabos 19" 1u preta 100 parafuso com porca gaiola.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SWITCH DEVERÁ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SWITCH TIPO I GERENCIÁVEL (DISTRIBUIÇÃO) 24 Portas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2SFP e 2SFP+ (48) Portas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Gigabit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RJ45; (2) Portas SFP+; (2) Portas SFP; (1) Porta Console; Rendimento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Non-Blocking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70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Capacidade de comutação: 140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Taxa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104.16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Consumo máximo de energia: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56W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Montável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Método Energia: AC 100-240VAC/50-60HZ e DC 25 a 16V, Conector 2.5 mm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Modelo de Referência: UBIQUITI EDGEMAX SWITCH ES-48-LITE-BR -24 Portas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CADEIRAS OPERACIONAIS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Cadeira giratória operativa alta, espaldar baixo, com braço, em couro; Estrutura do assento e do encosto em madeira compensada moldada anatomicamente ou em polipropileno, Almofadas com espuma de poliuretano injetada, com espessura aprox. 40 mm densidade controlada, para o assento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encosto;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Contra-encosto com capa de proteção em couro; Suporte do encosto em aço tubular com alma de aço ABNT, em forma de “T” ou chapa de 6mm em aço ABNT, e dois coxins flexíveis de borracha com lâminas em chapa de aço;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Altura do assento regulável por sistema pneumático (a gás) em várias posições. Base para apoio dos pés, circular com regulagem de altura em várias posições;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Componentes do tubo central, mola amortecedora (que deve funcionar inclusive na regulagem mínima de altura);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Pé com cinco pás em chapa de aço ABNT, estampadas e dobradas, soldadas ao tubo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central, com perfeito acabamento, pás com perfis de proteção em polipropileno na parte superior; Mecanismo que permite regulagem de altura e suporte para encosto com regulagem de inclinação; Assento e encosto com capas de proteção e acabamento em couro, com espuma injetada em poliuretano de alta resistência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resiliência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Dimensões aproximadas: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Assento: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50cm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largura x 41cm profundidade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Encosto: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41cm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largura x 26cm altura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Altura do assento: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63cm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72cm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Altura do encosto: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96cm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1,10m 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Capacidade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150kg</w:t>
            </w:r>
            <w:proofErr w:type="gramEnd"/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 HDS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Segmento: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ServidorInterno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;Padrão (pol.)</w:t>
            </w:r>
            <w:r>
              <w:rPr>
                <w:rFonts w:ascii="Arial" w:hAnsi="Arial" w:cs="Arial"/>
                <w:sz w:val="22"/>
                <w:szCs w:val="22"/>
              </w:rPr>
              <w:tab/>
              <w:t>3.5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</w:t>
            </w:r>
            <w:r>
              <w:rPr>
                <w:rFonts w:ascii="Arial" w:hAnsi="Arial" w:cs="Arial"/>
                <w:sz w:val="22"/>
                <w:szCs w:val="22"/>
              </w:rPr>
              <w:tab/>
              <w:t>8TB; Rotação (RPM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>7.200 RPM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  <w:t>256MB; Interface</w:t>
            </w:r>
            <w:r>
              <w:rPr>
                <w:rFonts w:ascii="Arial" w:hAnsi="Arial" w:cs="Arial"/>
                <w:sz w:val="22"/>
                <w:szCs w:val="22"/>
              </w:rPr>
              <w:tab/>
              <w:t>SAS 12.0Gb/s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Latência: 4,16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(média).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Portas de interface: Única.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Velocidade de acesso da interface: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12Gb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/s.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Vibração rotacional a 20-1.500Hz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12,5.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Taxa de transferência sustentada: 270MB/s (máx.).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Leitura / gravação aleatória 4K QD16 WCD (IOPS): 170 / 550.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 CARREGADORES FLUTUANTES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Carregador de baterias Lento Automático e Flutuante 12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- Desligamento automático (desliga automaticamente quando a bateria está carregada)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12 V Saída nominal: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/ 12 V Capacidade: 12 V até 45 AH Tensão: 110/220V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Bivolt</w:t>
            </w:r>
            <w:proofErr w:type="spellEnd"/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AS BATERIAS ESTACIONARIAS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DEVERÃO TER AS ESPECIFICAÇÕES, NO MÍNIMO, COM AS SEGUINTES TECNOLOGIAS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Tensão: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12V</w:t>
            </w:r>
            <w:proofErr w:type="gramEnd"/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Corrente: 7A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Tecnologia: Selada VRLA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Corrente de recarga máxima: 2,1ª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terminal: T1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Dimensões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Comprimento: 151 mm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Largura: 65 mm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Altura: 94 mm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FONTES SPEED DOME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2403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24Vac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3,5A ESPECÍFICO PARA CÂMERA SPEED DOME DS 2DE4225 IW DE.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  <w:tr w:rsidR="00A232B3" w:rsidTr="00A232B3">
        <w:trPr>
          <w:trHeight w:val="1020"/>
        </w:trPr>
        <w:tc>
          <w:tcPr>
            <w:tcW w:w="797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5407" w:type="dxa"/>
            <w:noWrap/>
          </w:tcPr>
          <w:p w:rsidR="00A232B3" w:rsidRDefault="00A232B3" w:rsidP="00887B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SSD’s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DEVERÃO TER AS ESPECIFICAÇÕES, NO MÍNIMO, COM AS SEGUINTES TECNOLOGIAS: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Fator de forma: M.2 2280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Interface: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PCI-Express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4.0 x4,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1.3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Capacidade Total: 256 GB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Velocidade de leitura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sequencial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até 5000 MB/s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Velocidade de gravação seqüencial: até 4400 MB/s</w:t>
            </w:r>
          </w:p>
          <w:p w:rsidR="00A232B3" w:rsidRDefault="00A232B3" w:rsidP="00887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Espalhador de calor de cobre totalmente corpo</w:t>
            </w:r>
          </w:p>
        </w:tc>
        <w:tc>
          <w:tcPr>
            <w:tcW w:w="1090" w:type="dxa"/>
            <w:noWrap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5" w:type="dxa"/>
            <w:vAlign w:val="center"/>
          </w:tcPr>
          <w:p w:rsidR="00A232B3" w:rsidRDefault="00A232B3" w:rsidP="00887B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</w:tr>
    </w:tbl>
    <w:p w:rsidR="008F755E" w:rsidRDefault="008F755E">
      <w:pPr>
        <w:pStyle w:val="Corpodetexto"/>
        <w:spacing w:before="92"/>
        <w:ind w:left="382"/>
        <w:rPr>
          <w:lang w:val="pt-BR"/>
        </w:rPr>
      </w:pPr>
    </w:p>
    <w:p w:rsidR="008F755E" w:rsidRDefault="00685E07">
      <w:pPr>
        <w:spacing w:after="12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Requisitos Necessários:</w:t>
      </w:r>
    </w:p>
    <w:p w:rsidR="008F755E" w:rsidRDefault="00685E07">
      <w:p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Toda documentação necessária estará contida no Edital, no site da Prefeitura Municipal de Arcos.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Condições de Execução: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entrega deverá ser realizada no prazo máximo de 60(sessenta) dias corridos a partir do recebimento da ordem de</w:t>
      </w:r>
      <w:r>
        <w:rPr>
          <w:rFonts w:ascii="Arial" w:hAnsi="Arial" w:cs="Arial"/>
          <w:color w:val="auto"/>
        </w:rPr>
        <w:t xml:space="preserve"> compra.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É obrigatório entregar a nota fiscal junto com a entrega do produto. Não serão aceitas notas fiscais enviadas por email para fim de recebimento.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 entrega dos produtos será feita no Quartel da Polícia Militar de Arcos/</w:t>
      </w:r>
      <w:proofErr w:type="gramStart"/>
      <w:r>
        <w:rPr>
          <w:rFonts w:ascii="Arial" w:hAnsi="Arial" w:cs="Arial"/>
          <w:color w:val="auto"/>
        </w:rPr>
        <w:t>MG,</w:t>
      </w:r>
      <w:proofErr w:type="gramEnd"/>
      <w:r>
        <w:rPr>
          <w:rFonts w:ascii="Arial" w:hAnsi="Arial" w:cs="Arial"/>
          <w:color w:val="auto"/>
        </w:rPr>
        <w:t xml:space="preserve">Rua Vinte e cinco de </w:t>
      </w:r>
      <w:r>
        <w:rPr>
          <w:rFonts w:ascii="Arial" w:hAnsi="Arial" w:cs="Arial"/>
          <w:color w:val="auto"/>
        </w:rPr>
        <w:t>Dezembro,n°16,Bairro de Lourdes,ou em outro endereço informado na Ordem de Compra,podendo ser no perímetro urbano e zona rural do Município.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horário para prestação de serviço é de </w:t>
      </w:r>
      <w:proofErr w:type="gramStart"/>
      <w:r>
        <w:rPr>
          <w:rFonts w:ascii="Arial" w:hAnsi="Arial" w:cs="Arial"/>
        </w:rPr>
        <w:t>8:00</w:t>
      </w:r>
      <w:proofErr w:type="gramEnd"/>
      <w:r>
        <w:rPr>
          <w:rFonts w:ascii="Arial" w:hAnsi="Arial" w:cs="Arial"/>
        </w:rPr>
        <w:t>h as 17 h, de segunda-feira a sexta-feira, ou outro horário estipulado</w:t>
      </w:r>
      <w:r>
        <w:rPr>
          <w:rFonts w:ascii="Arial" w:hAnsi="Arial" w:cs="Arial"/>
        </w:rPr>
        <w:t xml:space="preserve"> na ordem de execução de serviço.</w:t>
      </w:r>
    </w:p>
    <w:p w:rsidR="008F755E" w:rsidRDefault="00685E07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 Secretaria Municipal de Governo ou Departamentos requisitantes, não autorizarão a entrega fora do horário de funcionamento.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ficará responsável pela entrega dos produtos, mesmo em locais que contenham mais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(um) piso.</w:t>
      </w:r>
    </w:p>
    <w:p w:rsidR="008F755E" w:rsidRDefault="00685E07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No caso de reprovação do produto, a empresa terá 05 (cinco) dias corridos para regularização do mesmo. A retirada do produto é por conta da Contratada.</w:t>
      </w:r>
      <w:r>
        <w:rPr>
          <w:rFonts w:ascii="Arial" w:hAnsi="Arial" w:cs="Arial"/>
          <w:color w:val="FF0000"/>
        </w:rPr>
        <w:t xml:space="preserve"> . 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entrega dos produtos será parcelada, de acordo com a demanda da Secretaria Municipal de </w:t>
      </w:r>
      <w:r>
        <w:rPr>
          <w:rFonts w:ascii="Arial" w:hAnsi="Arial" w:cs="Arial"/>
        </w:rPr>
        <w:t>Governo, informado na ordem de compra.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Gestão e Fiscalização do Contrato: 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CONTROLE, AVALIAÇÃO, VISTORIA E FISCALIZAÇÃO, ficará</w:t>
      </w:r>
      <w:proofErr w:type="gramEnd"/>
      <w:r>
        <w:rPr>
          <w:rFonts w:ascii="Arial" w:hAnsi="Arial" w:cs="Arial"/>
        </w:rPr>
        <w:t xml:space="preserve"> a cargo do fiscal do contrato, indicado pelo Secretário Responsável por cada Secretaria, onde poderá exigir informações adicio</w:t>
      </w:r>
      <w:r>
        <w:rPr>
          <w:rFonts w:ascii="Arial" w:hAnsi="Arial" w:cs="Arial"/>
        </w:rPr>
        <w:t xml:space="preserve">nais que julgue necessário desde que a solicitação seja feita por escrito. 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Ora: 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por recebimento e inspeção de mercadoria recebida: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Sob a responsabilidade de realizar o recebimento, a contagem dos materiais entregues, a verificação de avaria o</w:t>
      </w:r>
      <w:r>
        <w:rPr>
          <w:rFonts w:ascii="Arial" w:hAnsi="Arial" w:cs="Arial"/>
        </w:rPr>
        <w:t xml:space="preserve">u produtos vencidos, a comparação de mercadorias recebidas com a descrição na Autorização de compras a fim de perceber </w:t>
      </w:r>
      <w:proofErr w:type="gramStart"/>
      <w:r>
        <w:rPr>
          <w:rFonts w:ascii="Arial" w:hAnsi="Arial" w:cs="Arial"/>
        </w:rPr>
        <w:t>possíveis inconsistência</w:t>
      </w:r>
      <w:proofErr w:type="gramEnd"/>
      <w:r>
        <w:rPr>
          <w:rFonts w:ascii="Arial" w:hAnsi="Arial" w:cs="Arial"/>
        </w:rPr>
        <w:t xml:space="preserve"> nos itens recebidos.</w:t>
      </w:r>
    </w:p>
    <w:p w:rsidR="008F755E" w:rsidRDefault="00685E07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Ex.:</w:t>
      </w:r>
    </w:p>
    <w:p w:rsidR="008F755E" w:rsidRDefault="008F755E">
      <w:pPr>
        <w:pStyle w:val="Default"/>
        <w:spacing w:after="1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96"/>
        <w:gridCol w:w="3402"/>
        <w:gridCol w:w="1985"/>
        <w:gridCol w:w="1365"/>
      </w:tblGrid>
      <w:tr w:rsidR="008F755E">
        <w:trPr>
          <w:trHeight w:val="315"/>
        </w:trPr>
        <w:tc>
          <w:tcPr>
            <w:tcW w:w="1696" w:type="dxa"/>
            <w:shd w:val="clear" w:color="auto" w:fill="BFBFBF" w:themeFill="background1" w:themeFillShade="BF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3402" w:type="dxa"/>
            <w:shd w:val="clear" w:color="auto" w:fill="BFBFBF" w:themeFill="background1" w:themeFillShade="BF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Contato:</w:t>
            </w:r>
          </w:p>
        </w:tc>
        <w:tc>
          <w:tcPr>
            <w:tcW w:w="1365" w:type="dxa"/>
            <w:shd w:val="clear" w:color="auto" w:fill="BFBFBF" w:themeFill="background1" w:themeFillShade="BF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MASP</w:t>
            </w:r>
          </w:p>
        </w:tc>
      </w:tr>
      <w:tr w:rsidR="008F755E">
        <w:trPr>
          <w:trHeight w:val="300"/>
        </w:trPr>
        <w:tc>
          <w:tcPr>
            <w:tcW w:w="1696" w:type="dxa"/>
            <w:noWrap/>
          </w:tcPr>
          <w:p w:rsidR="008F755E" w:rsidRDefault="00685E07">
            <w:pPr>
              <w:pStyle w:val="Defaul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Quartel da Polícia Militar de Arcos/MG</w:t>
            </w:r>
          </w:p>
        </w:tc>
        <w:tc>
          <w:tcPr>
            <w:tcW w:w="3402" w:type="dxa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Sargento </w:t>
            </w:r>
            <w:r>
              <w:rPr>
                <w:rFonts w:ascii="Arial" w:hAnsi="Arial" w:cs="Arial"/>
              </w:rPr>
              <w:t>Jonas Otaviano Costa</w:t>
            </w:r>
          </w:p>
        </w:tc>
        <w:tc>
          <w:tcPr>
            <w:tcW w:w="1985" w:type="dxa"/>
            <w:noWrap/>
          </w:tcPr>
          <w:p w:rsidR="008F755E" w:rsidRDefault="00685E07">
            <w:pPr>
              <w:pStyle w:val="Default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(37)99938-0099</w:t>
            </w:r>
          </w:p>
        </w:tc>
        <w:tc>
          <w:tcPr>
            <w:tcW w:w="1365" w:type="dxa"/>
            <w:noWrap/>
          </w:tcPr>
          <w:p w:rsidR="008F755E" w:rsidRDefault="00685E07">
            <w:pPr>
              <w:pStyle w:val="Defaul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140.566-1</w:t>
            </w:r>
          </w:p>
        </w:tc>
      </w:tr>
    </w:tbl>
    <w:p w:rsidR="008F755E" w:rsidRDefault="00685E0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de Pagamento: </w:t>
      </w:r>
    </w:p>
    <w:p w:rsidR="008F755E" w:rsidRDefault="00685E07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CONTRATANTE realizará o pagamento no prazo de 30 (trinta) dias, contado da prestação do serviço e da apresentação do documento fiscal correspondente, acompanhado da respectiva ordem de </w:t>
      </w:r>
      <w:r>
        <w:rPr>
          <w:rFonts w:ascii="Arial" w:hAnsi="Arial" w:cs="Arial"/>
        </w:rPr>
        <w:t>execução de serviço.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efetuado qualquer pagamento à contratada, em caso de descumprimento das condições de habilitação e qualificação exigidas na licitação.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vedada a realização de pagamento antes da execução do serviço ou se o mesmo não estiver d</w:t>
      </w:r>
      <w:r>
        <w:rPr>
          <w:rFonts w:ascii="Arial" w:hAnsi="Arial" w:cs="Arial"/>
        </w:rPr>
        <w:t>e acordo com as especificações deste instrumento.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encontram-se ainda condicionados à apresentação das seguintes comprovações dos documentos: Documentação relativa à regularidade para com a Seguridade Social (INSS), Fundo de Garantia por Tempo</w:t>
      </w:r>
      <w:r>
        <w:rPr>
          <w:rFonts w:ascii="Arial" w:hAnsi="Arial" w:cs="Arial"/>
        </w:rPr>
        <w:t xml:space="preserve"> de Serviço (FGTS), Trabalhista e Fazendas Federal, Estadual e Municipal e Certidão Negativa do Contribuinte Municipal.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As condições completas para pagamento estarão contidas no edital.</w:t>
      </w:r>
    </w:p>
    <w:p w:rsidR="008F755E" w:rsidRDefault="008F755E">
      <w:pPr>
        <w:rPr>
          <w:rFonts w:ascii="Arial" w:hAnsi="Arial" w:cs="Arial"/>
        </w:rPr>
      </w:pP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Condições Gerais: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É de total responsabilidade da empresa vencedora, d</w:t>
      </w:r>
      <w:r>
        <w:rPr>
          <w:rFonts w:ascii="Arial" w:hAnsi="Arial" w:cs="Arial"/>
        </w:rPr>
        <w:t xml:space="preserve">urante a execução do contrato, informar com antecedência a administração pública qualquer alteração na situação cadastral (mudança de CNPJ e/ou alteração na Razão Social) da empresa, sob pena de suspensão dos créditos devidos até a regularização dos dados </w:t>
      </w:r>
      <w:r>
        <w:rPr>
          <w:rFonts w:ascii="Arial" w:hAnsi="Arial" w:cs="Arial"/>
        </w:rPr>
        <w:t>cadastrais.</w:t>
      </w:r>
    </w:p>
    <w:p w:rsidR="008F755E" w:rsidRDefault="00685E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Reserva-se o direito da Contratante em não aceitar o serviço em desacordo com o previsto neste Termo de Referência ou em desconformidade com as normas legais ou técnicas pertinentes ao seu objeto, podendo rescindir a contratação prevista no art</w:t>
      </w:r>
      <w:r>
        <w:rPr>
          <w:rFonts w:ascii="Arial" w:hAnsi="Arial" w:cs="Arial"/>
        </w:rPr>
        <w:t>. 77 da Lei nº 8.666/93</w:t>
      </w:r>
    </w:p>
    <w:p w:rsidR="008F755E" w:rsidRDefault="00685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Esta(s) secretaria(s) </w:t>
      </w:r>
      <w:proofErr w:type="gramStart"/>
      <w:r>
        <w:rPr>
          <w:rFonts w:ascii="Arial" w:hAnsi="Arial" w:cs="Arial"/>
        </w:rPr>
        <w:t>assume(</w:t>
      </w:r>
      <w:proofErr w:type="gramEnd"/>
      <w:r>
        <w:rPr>
          <w:rFonts w:ascii="Arial" w:hAnsi="Arial" w:cs="Arial"/>
        </w:rPr>
        <w:t xml:space="preserve">em) a responsabilidade exclusiva pelas especificação dos materiais/serviços, não sendo atribuída à </w:t>
      </w:r>
      <w:proofErr w:type="spellStart"/>
      <w:r>
        <w:rPr>
          <w:rFonts w:ascii="Arial" w:hAnsi="Arial" w:cs="Arial"/>
        </w:rPr>
        <w:t>Pregoeira</w:t>
      </w:r>
      <w:proofErr w:type="spellEnd"/>
      <w:r>
        <w:rPr>
          <w:rFonts w:ascii="Arial" w:hAnsi="Arial" w:cs="Arial"/>
        </w:rPr>
        <w:t>, equipe de apoio e Departamento de licitações, quaisquer culpabilidades neste sentido.</w:t>
      </w:r>
    </w:p>
    <w:p w:rsidR="008F755E" w:rsidRDefault="008F755E">
      <w:pPr>
        <w:pStyle w:val="Cabealho"/>
        <w:rPr>
          <w:rFonts w:ascii="Arial" w:hAnsi="Arial" w:cs="Arial"/>
        </w:rPr>
      </w:pPr>
    </w:p>
    <w:p w:rsidR="008F755E" w:rsidRDefault="00685E07">
      <w:pPr>
        <w:pStyle w:val="Cabealh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Arcos,</w:t>
      </w:r>
      <w:r>
        <w:rPr>
          <w:rFonts w:ascii="Arial" w:hAnsi="Arial" w:cs="Arial"/>
          <w:color w:val="FF0000"/>
        </w:rPr>
        <w:t xml:space="preserve"> </w:t>
      </w:r>
      <w:r w:rsidR="00A232B3">
        <w:rPr>
          <w:rFonts w:ascii="Arial" w:hAnsi="Arial" w:cs="Arial"/>
          <w:color w:val="FF0000"/>
        </w:rPr>
        <w:t>19 de maio de 2022.</w:t>
      </w:r>
    </w:p>
    <w:p w:rsidR="008F755E" w:rsidRDefault="008F755E">
      <w:pPr>
        <w:spacing w:after="120"/>
        <w:jc w:val="both"/>
        <w:rPr>
          <w:rFonts w:ascii="Arial" w:hAnsi="Arial" w:cs="Arial"/>
        </w:rPr>
      </w:pPr>
    </w:p>
    <w:p w:rsidR="008F755E" w:rsidRDefault="00685E0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Concordância com o Termo de Referência </w:t>
      </w:r>
    </w:p>
    <w:p w:rsidR="008F755E" w:rsidRDefault="008F755E">
      <w:pPr>
        <w:spacing w:after="120"/>
        <w:jc w:val="both"/>
        <w:rPr>
          <w:rFonts w:ascii="Arial" w:hAnsi="Arial" w:cs="Arial"/>
          <w:b/>
        </w:rPr>
      </w:pPr>
      <w:r w:rsidRPr="008F755E">
        <w:pict>
          <v:line id="Straight Connector 2" o:spid="_x0000_s1026" style="position:absolute;left:0;text-align:left;flip:y;z-index:251659264;mso-width-relative:page;mso-height-relative:page" from="1.85pt,18.45pt" to="257.6pt,21.45pt" o:gfxdata="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CBza2AAAAAcBAAAPAAAAAAAAAAEAIAAAACIAAABkcnMvZG93bnJldi54bWxQSwEC&#10;FAAUAAAACACHTuJAdAbW//QBAADcAwAADgAAAAAAAAABACAAAAAnAQAAZHJzL2Uyb0RvYy54bWxQ&#10;SwUGAAAAAAYABgBZAQAAjQUAAAAA&#10;" strokecolor="#5b9bd5" strokeweight=".5pt">
            <v:stroke joinstyle="miter"/>
          </v:line>
        </w:pict>
      </w:r>
    </w:p>
    <w:p w:rsidR="008F755E" w:rsidRDefault="00A232B3" w:rsidP="00A232B3">
      <w:pPr>
        <w:spacing w:after="120"/>
        <w:ind w:firstLineChars="400" w:firstLine="964"/>
        <w:jc w:val="both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  <w:color w:val="FF0000"/>
        </w:rPr>
        <w:t>Kledson</w:t>
      </w:r>
      <w:proofErr w:type="spellEnd"/>
      <w:r>
        <w:rPr>
          <w:rFonts w:ascii="Arial" w:hAnsi="Arial" w:cs="Arial"/>
          <w:b/>
          <w:color w:val="FF0000"/>
        </w:rPr>
        <w:t xml:space="preserve"> Luiz de Souza</w:t>
      </w:r>
    </w:p>
    <w:p w:rsidR="008F755E" w:rsidRDefault="00685E07">
      <w:pPr>
        <w:spacing w:after="120"/>
        <w:ind w:firstLineChars="250" w:firstLine="60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Secretário Municipal de Governo </w:t>
      </w:r>
    </w:p>
    <w:sectPr w:rsidR="008F755E" w:rsidSect="008F755E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5E" w:rsidRDefault="008F755E" w:rsidP="008F755E">
      <w:r>
        <w:separator/>
      </w:r>
    </w:p>
  </w:endnote>
  <w:endnote w:type="continuationSeparator" w:id="1">
    <w:p w:rsidR="008F755E" w:rsidRDefault="008F755E" w:rsidP="008F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10"/>
    </w:sdtPr>
    <w:sdtContent>
      <w:p w:rsidR="008F755E" w:rsidRDefault="008F755E">
        <w:pPr>
          <w:pStyle w:val="Rodap"/>
          <w:jc w:val="right"/>
        </w:pPr>
        <w:r>
          <w:fldChar w:fldCharType="begin"/>
        </w:r>
        <w:r w:rsidR="00685E07">
          <w:instrText xml:space="preserve"> PAGE   \* MERGEFORMAT </w:instrText>
        </w:r>
        <w:r>
          <w:fldChar w:fldCharType="separate"/>
        </w:r>
        <w:r w:rsidR="00685E07">
          <w:rPr>
            <w:noProof/>
          </w:rPr>
          <w:t>11</w:t>
        </w:r>
        <w:r>
          <w:fldChar w:fldCharType="end"/>
        </w:r>
      </w:p>
    </w:sdtContent>
  </w:sdt>
  <w:p w:rsidR="008F755E" w:rsidRDefault="008F755E">
    <w:pPr>
      <w:pStyle w:val="Rodap"/>
    </w:pPr>
  </w:p>
  <w:p w:rsidR="008F755E" w:rsidRDefault="008F75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5E" w:rsidRDefault="008F755E" w:rsidP="008F755E">
      <w:r>
        <w:separator/>
      </w:r>
    </w:p>
  </w:footnote>
  <w:footnote w:type="continuationSeparator" w:id="1">
    <w:p w:rsidR="008F755E" w:rsidRDefault="008F755E" w:rsidP="008F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5E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755E" w:rsidRDefault="008F755E">
    <w:pPr>
      <w:pStyle w:val="Cabealho"/>
      <w:ind w:right="360"/>
    </w:pPr>
  </w:p>
  <w:p w:rsidR="008F755E" w:rsidRDefault="008F75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5E" w:rsidRDefault="008F755E">
    <w:pPr>
      <w:pStyle w:val="Cabealho"/>
      <w:framePr w:wrap="around" w:vAnchor="text" w:hAnchor="margin" w:xAlign="right" w:y="1"/>
      <w:rPr>
        <w:rStyle w:val="Nmerodepgina"/>
      </w:rPr>
    </w:pPr>
  </w:p>
  <w:p w:rsidR="008F755E" w:rsidRDefault="008F755E">
    <w:pPr>
      <w:pStyle w:val="Cabealho"/>
      <w:ind w:right="360"/>
    </w:pPr>
    <w:r w:rsidRPr="008F755E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1pt;margin-top:.55pt;width:192.35pt;height:33.2pt;z-index:251660288;mso-wrap-distance-top:0;mso-wrap-distance-bottom:0;mso-width-relative:page;mso-height-relative:page">
          <v:imagedata r:id="rId1" o:title=""/>
          <w10:wrap type="topAndBottom"/>
        </v:shape>
        <o:OLEObject Type="Embed" ProgID="CorelDRAW.Graphic.10" ShapeID="_x0000_s2049" DrawAspect="Content" ObjectID="_1718521193" r:id="rId2"/>
      </w:pict>
    </w:r>
  </w:p>
  <w:p w:rsidR="008F755E" w:rsidRDefault="008F75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70C0"/>
    <w:rsid w:val="00016E86"/>
    <w:rsid w:val="00044A3A"/>
    <w:rsid w:val="000562E8"/>
    <w:rsid w:val="0006653A"/>
    <w:rsid w:val="000D7EC7"/>
    <w:rsid w:val="000E3006"/>
    <w:rsid w:val="000E4DD9"/>
    <w:rsid w:val="000E7789"/>
    <w:rsid w:val="001216E2"/>
    <w:rsid w:val="00152192"/>
    <w:rsid w:val="00181904"/>
    <w:rsid w:val="001E0CC3"/>
    <w:rsid w:val="001E2C1D"/>
    <w:rsid w:val="001F2B0D"/>
    <w:rsid w:val="0025364D"/>
    <w:rsid w:val="002C4343"/>
    <w:rsid w:val="00311459"/>
    <w:rsid w:val="00353B56"/>
    <w:rsid w:val="00391915"/>
    <w:rsid w:val="00391C94"/>
    <w:rsid w:val="003D2D17"/>
    <w:rsid w:val="003E3F8B"/>
    <w:rsid w:val="003E58D7"/>
    <w:rsid w:val="004002D6"/>
    <w:rsid w:val="004429DE"/>
    <w:rsid w:val="004817FE"/>
    <w:rsid w:val="0048618E"/>
    <w:rsid w:val="00497B46"/>
    <w:rsid w:val="00497FA3"/>
    <w:rsid w:val="004C2C90"/>
    <w:rsid w:val="004D2C4A"/>
    <w:rsid w:val="004F408A"/>
    <w:rsid w:val="00515CDF"/>
    <w:rsid w:val="00555932"/>
    <w:rsid w:val="005A6450"/>
    <w:rsid w:val="005F6E5C"/>
    <w:rsid w:val="005F764C"/>
    <w:rsid w:val="00601937"/>
    <w:rsid w:val="00616DDC"/>
    <w:rsid w:val="006329E2"/>
    <w:rsid w:val="00650718"/>
    <w:rsid w:val="00685E07"/>
    <w:rsid w:val="006C36C1"/>
    <w:rsid w:val="00700381"/>
    <w:rsid w:val="00715AC2"/>
    <w:rsid w:val="00777733"/>
    <w:rsid w:val="007E5C80"/>
    <w:rsid w:val="00835728"/>
    <w:rsid w:val="00835C47"/>
    <w:rsid w:val="00840360"/>
    <w:rsid w:val="00862011"/>
    <w:rsid w:val="008F755E"/>
    <w:rsid w:val="009314CC"/>
    <w:rsid w:val="00934921"/>
    <w:rsid w:val="00951785"/>
    <w:rsid w:val="00984DAC"/>
    <w:rsid w:val="009B13AB"/>
    <w:rsid w:val="009E1A0D"/>
    <w:rsid w:val="00A06CB7"/>
    <w:rsid w:val="00A232B3"/>
    <w:rsid w:val="00A270C0"/>
    <w:rsid w:val="00A31820"/>
    <w:rsid w:val="00A469A9"/>
    <w:rsid w:val="00A46EBF"/>
    <w:rsid w:val="00A54870"/>
    <w:rsid w:val="00A675DE"/>
    <w:rsid w:val="00A83F0F"/>
    <w:rsid w:val="00B00F63"/>
    <w:rsid w:val="00B31092"/>
    <w:rsid w:val="00B53794"/>
    <w:rsid w:val="00B57467"/>
    <w:rsid w:val="00B70AF6"/>
    <w:rsid w:val="00B94614"/>
    <w:rsid w:val="00BB293A"/>
    <w:rsid w:val="00BD43AA"/>
    <w:rsid w:val="00BF26A8"/>
    <w:rsid w:val="00C01991"/>
    <w:rsid w:val="00C13D7D"/>
    <w:rsid w:val="00C530F4"/>
    <w:rsid w:val="00C871C1"/>
    <w:rsid w:val="00CA1476"/>
    <w:rsid w:val="00CD4A41"/>
    <w:rsid w:val="00D3522E"/>
    <w:rsid w:val="00D5004F"/>
    <w:rsid w:val="00DB4CB4"/>
    <w:rsid w:val="00DF4309"/>
    <w:rsid w:val="00E04310"/>
    <w:rsid w:val="00E47AEC"/>
    <w:rsid w:val="00E55262"/>
    <w:rsid w:val="00E81E91"/>
    <w:rsid w:val="00EA5644"/>
    <w:rsid w:val="00EB09B8"/>
    <w:rsid w:val="00EC71AD"/>
    <w:rsid w:val="00F151DB"/>
    <w:rsid w:val="00F80439"/>
    <w:rsid w:val="00F91A96"/>
    <w:rsid w:val="00FB239F"/>
    <w:rsid w:val="00FF1C29"/>
    <w:rsid w:val="013A4D75"/>
    <w:rsid w:val="02476664"/>
    <w:rsid w:val="027E5C12"/>
    <w:rsid w:val="03F6591C"/>
    <w:rsid w:val="04823510"/>
    <w:rsid w:val="04F01521"/>
    <w:rsid w:val="065B1EEF"/>
    <w:rsid w:val="06BC450C"/>
    <w:rsid w:val="07782D30"/>
    <w:rsid w:val="08876AAB"/>
    <w:rsid w:val="0895324C"/>
    <w:rsid w:val="0A0862B2"/>
    <w:rsid w:val="0AD938FB"/>
    <w:rsid w:val="0B0D4168"/>
    <w:rsid w:val="0B6639FE"/>
    <w:rsid w:val="0C724BE8"/>
    <w:rsid w:val="0D38632E"/>
    <w:rsid w:val="0D4A18AF"/>
    <w:rsid w:val="0D827501"/>
    <w:rsid w:val="0DE66560"/>
    <w:rsid w:val="101D68F2"/>
    <w:rsid w:val="12BA0462"/>
    <w:rsid w:val="13152370"/>
    <w:rsid w:val="13BB15E3"/>
    <w:rsid w:val="14014B63"/>
    <w:rsid w:val="14BA4E0D"/>
    <w:rsid w:val="15B308DA"/>
    <w:rsid w:val="16BC20F0"/>
    <w:rsid w:val="174B0890"/>
    <w:rsid w:val="179D211E"/>
    <w:rsid w:val="18E13CAA"/>
    <w:rsid w:val="1B287169"/>
    <w:rsid w:val="1B8F22E5"/>
    <w:rsid w:val="1BA6317C"/>
    <w:rsid w:val="1C0106FA"/>
    <w:rsid w:val="1C5E72AF"/>
    <w:rsid w:val="1C742109"/>
    <w:rsid w:val="1C780484"/>
    <w:rsid w:val="1D2E0193"/>
    <w:rsid w:val="1D6317F7"/>
    <w:rsid w:val="1D906752"/>
    <w:rsid w:val="1EB54C24"/>
    <w:rsid w:val="1F717FD6"/>
    <w:rsid w:val="215A4BA7"/>
    <w:rsid w:val="21D143CB"/>
    <w:rsid w:val="21DA3E2D"/>
    <w:rsid w:val="23092405"/>
    <w:rsid w:val="23BA2098"/>
    <w:rsid w:val="23D02007"/>
    <w:rsid w:val="242E700F"/>
    <w:rsid w:val="248518C4"/>
    <w:rsid w:val="258E5E25"/>
    <w:rsid w:val="260F61C1"/>
    <w:rsid w:val="26C0043E"/>
    <w:rsid w:val="274A1175"/>
    <w:rsid w:val="27B4799C"/>
    <w:rsid w:val="28722C6D"/>
    <w:rsid w:val="28993F4E"/>
    <w:rsid w:val="29B70CAD"/>
    <w:rsid w:val="2B3958FA"/>
    <w:rsid w:val="2BC80E28"/>
    <w:rsid w:val="2D6F524E"/>
    <w:rsid w:val="2EC93E2E"/>
    <w:rsid w:val="2F0A228A"/>
    <w:rsid w:val="30C22C7D"/>
    <w:rsid w:val="322A2F16"/>
    <w:rsid w:val="328D11A8"/>
    <w:rsid w:val="33272ED8"/>
    <w:rsid w:val="35367D26"/>
    <w:rsid w:val="378878D1"/>
    <w:rsid w:val="38051153"/>
    <w:rsid w:val="38053F89"/>
    <w:rsid w:val="383400D5"/>
    <w:rsid w:val="3A3F00EE"/>
    <w:rsid w:val="3AF02DD7"/>
    <w:rsid w:val="3B456AC3"/>
    <w:rsid w:val="3B9F7D8A"/>
    <w:rsid w:val="3BF84C61"/>
    <w:rsid w:val="3CD02877"/>
    <w:rsid w:val="3DD90488"/>
    <w:rsid w:val="3DFC50F2"/>
    <w:rsid w:val="3E06112C"/>
    <w:rsid w:val="3E531B28"/>
    <w:rsid w:val="3EE84F79"/>
    <w:rsid w:val="400A5D23"/>
    <w:rsid w:val="413F1E73"/>
    <w:rsid w:val="42250142"/>
    <w:rsid w:val="4338070D"/>
    <w:rsid w:val="44AE1A6A"/>
    <w:rsid w:val="458914BD"/>
    <w:rsid w:val="458B2C53"/>
    <w:rsid w:val="45C21EA2"/>
    <w:rsid w:val="45CC7FCA"/>
    <w:rsid w:val="46122BFE"/>
    <w:rsid w:val="46A64313"/>
    <w:rsid w:val="47BC2C03"/>
    <w:rsid w:val="48381F08"/>
    <w:rsid w:val="48781768"/>
    <w:rsid w:val="488161E7"/>
    <w:rsid w:val="492142AA"/>
    <w:rsid w:val="4962116E"/>
    <w:rsid w:val="4A855A62"/>
    <w:rsid w:val="4B3E61E0"/>
    <w:rsid w:val="4C735484"/>
    <w:rsid w:val="4CFF0C01"/>
    <w:rsid w:val="4EF6650D"/>
    <w:rsid w:val="4F257E74"/>
    <w:rsid w:val="4F761D34"/>
    <w:rsid w:val="4F7E3891"/>
    <w:rsid w:val="4F882884"/>
    <w:rsid w:val="50AF544A"/>
    <w:rsid w:val="50D36B3A"/>
    <w:rsid w:val="512B00B2"/>
    <w:rsid w:val="519E7FAE"/>
    <w:rsid w:val="520C2B75"/>
    <w:rsid w:val="534A7C4F"/>
    <w:rsid w:val="535301F4"/>
    <w:rsid w:val="54F67034"/>
    <w:rsid w:val="556217D6"/>
    <w:rsid w:val="55C5606E"/>
    <w:rsid w:val="560127D6"/>
    <w:rsid w:val="582005AA"/>
    <w:rsid w:val="592E6991"/>
    <w:rsid w:val="5A1838AF"/>
    <w:rsid w:val="5ABD101A"/>
    <w:rsid w:val="5C4556B9"/>
    <w:rsid w:val="5C7C4BA1"/>
    <w:rsid w:val="5DC52336"/>
    <w:rsid w:val="5DD9312C"/>
    <w:rsid w:val="5E5E233E"/>
    <w:rsid w:val="5F143FBF"/>
    <w:rsid w:val="5F1A2591"/>
    <w:rsid w:val="61CD7263"/>
    <w:rsid w:val="64AA0F22"/>
    <w:rsid w:val="66F60148"/>
    <w:rsid w:val="678A496E"/>
    <w:rsid w:val="67C16ED1"/>
    <w:rsid w:val="67C565F1"/>
    <w:rsid w:val="67F66182"/>
    <w:rsid w:val="68DB1780"/>
    <w:rsid w:val="69087CEE"/>
    <w:rsid w:val="6D240516"/>
    <w:rsid w:val="6E063536"/>
    <w:rsid w:val="6EC91FC2"/>
    <w:rsid w:val="6F4F6680"/>
    <w:rsid w:val="6F7A12D3"/>
    <w:rsid w:val="70214029"/>
    <w:rsid w:val="71963C26"/>
    <w:rsid w:val="72227DAA"/>
    <w:rsid w:val="72830D61"/>
    <w:rsid w:val="729B6406"/>
    <w:rsid w:val="737679A8"/>
    <w:rsid w:val="743B398B"/>
    <w:rsid w:val="74627739"/>
    <w:rsid w:val="76FB2794"/>
    <w:rsid w:val="77EF3E33"/>
    <w:rsid w:val="78B4147A"/>
    <w:rsid w:val="79184497"/>
    <w:rsid w:val="79FC5905"/>
    <w:rsid w:val="7A5043F0"/>
    <w:rsid w:val="7AAD7415"/>
    <w:rsid w:val="7B514AF2"/>
    <w:rsid w:val="7BEC1D2C"/>
    <w:rsid w:val="7C8459DC"/>
    <w:rsid w:val="7C880A61"/>
    <w:rsid w:val="7E2C7D2A"/>
    <w:rsid w:val="7E4008A0"/>
    <w:rsid w:val="7E4D6027"/>
    <w:rsid w:val="7ED377C3"/>
    <w:rsid w:val="7F2372A1"/>
    <w:rsid w:val="7F2E603D"/>
    <w:rsid w:val="7F81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39" w:qFormat="1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5E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755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8F755E"/>
    <w:pPr>
      <w:keepNext/>
      <w:jc w:val="center"/>
      <w:outlineLvl w:val="5"/>
    </w:pPr>
    <w:rPr>
      <w:rFonts w:ascii="Arial" w:hAnsi="Arial" w:cs="Arial"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8F755E"/>
    <w:pPr>
      <w:outlineLvl w:val="6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755E"/>
    <w:rPr>
      <w:b/>
      <w:bCs/>
    </w:rPr>
  </w:style>
  <w:style w:type="character" w:styleId="nfase">
    <w:name w:val="Emphasis"/>
    <w:basedOn w:val="Fontepargpadro"/>
    <w:uiPriority w:val="20"/>
    <w:qFormat/>
    <w:rsid w:val="008F755E"/>
    <w:rPr>
      <w:i/>
      <w:iCs/>
    </w:rPr>
  </w:style>
  <w:style w:type="character" w:styleId="Hyperlink">
    <w:name w:val="Hyperlink"/>
    <w:basedOn w:val="Fontepargpadro"/>
    <w:uiPriority w:val="99"/>
    <w:unhideWhenUsed/>
    <w:qFormat/>
    <w:rsid w:val="008F755E"/>
    <w:rPr>
      <w:color w:val="0563C1" w:themeColor="hyperlink"/>
      <w:u w:val="single"/>
    </w:rPr>
  </w:style>
  <w:style w:type="character" w:styleId="Nmerodepgina">
    <w:name w:val="page number"/>
    <w:basedOn w:val="Fontepargpadro"/>
    <w:qFormat/>
    <w:rsid w:val="008F755E"/>
  </w:style>
  <w:style w:type="paragraph" w:styleId="Corpodetexto">
    <w:name w:val="Body Text"/>
    <w:basedOn w:val="Normal"/>
    <w:link w:val="CorpodetextoChar"/>
    <w:uiPriority w:val="1"/>
    <w:qFormat/>
    <w:rsid w:val="008F755E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paragraph" w:styleId="NormalWeb">
    <w:name w:val="Normal (Web)"/>
    <w:basedOn w:val="Normal"/>
    <w:qFormat/>
    <w:rsid w:val="008F75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qFormat/>
    <w:rsid w:val="008F7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rsid w:val="008F755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7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qFormat/>
    <w:rsid w:val="008F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8F75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8F755E"/>
    <w:rPr>
      <w:rFonts w:ascii="Arial" w:eastAsia="Times New Roman" w:hAnsi="Arial" w:cs="Arial"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8F755E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customStyle="1" w:styleId="Default">
    <w:name w:val="Default"/>
    <w:qFormat/>
    <w:rsid w:val="008F755E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F75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F75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unhideWhenUsed/>
    <w:qFormat/>
    <w:rsid w:val="008F755E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755E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75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F755E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55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2DB32F6-B0B2-4C8A-9B41-D8A97155B13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18830</Characters>
  <Application>Microsoft Office Word</Application>
  <DocSecurity>0</DocSecurity>
  <Lines>156</Lines>
  <Paragraphs>44</Paragraphs>
  <ScaleCrop>false</ScaleCrop>
  <Company>Prefeitura Municipal de Arcos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Cristina Batista</dc:creator>
  <cp:lastModifiedBy>Helen Cristina Batista</cp:lastModifiedBy>
  <cp:revision>2</cp:revision>
  <cp:lastPrinted>2021-12-16T18:02:00Z</cp:lastPrinted>
  <dcterms:created xsi:type="dcterms:W3CDTF">2022-07-05T13:13:00Z</dcterms:created>
  <dcterms:modified xsi:type="dcterms:W3CDTF">2022-07-05T13:13:00Z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7AF69459CC6245F7B5452976E9EB1635</vt:lpwstr>
  </property>
</Properties>
</file>