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100</w:t>
      </w:r>
      <w:bookmarkStart w:id="2" w:name="_GoBack"/>
      <w:bookmarkEnd w:id="2"/>
    </w:p>
    <w:p>
      <w:pPr>
        <w:jc w:val="center"/>
        <w:rPr>
          <w:rFonts w:ascii="Arial" w:hAnsi="Arial" w:eastAsia="Times New Roman" w:cs="Arial"/>
          <w:b/>
          <w:iCs/>
        </w:rPr>
      </w:pPr>
      <w:r>
        <w:rPr>
          <w:rFonts w:ascii="Arial" w:hAnsi="Arial" w:eastAsia="Times New Roman" w:cs="Arial"/>
          <w:b/>
          <w:iCs/>
          <w:highlight w:val="yellow"/>
        </w:rPr>
        <w:t>Serviços comuns e ou especiais e aquisições</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firstLine="709"/>
        <w:rPr>
          <w:b/>
          <w:bCs/>
          <w:sz w:val="24"/>
          <w:szCs w:val="24"/>
        </w:rPr>
      </w:pPr>
      <w:r>
        <w:rPr>
          <w:rFonts w:hint="default"/>
          <w:sz w:val="24"/>
          <w:szCs w:val="24"/>
          <w:highlight w:val="none"/>
          <w:lang w:val="pt-BR"/>
        </w:rPr>
        <w:t>Contratação de serviços com caminhão de sucção “limpa fossa”</w:t>
      </w:r>
      <w:r>
        <w:rPr>
          <w:sz w:val="24"/>
          <w:szCs w:val="24"/>
        </w:rPr>
        <w:t>,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378"/>
        <w:gridCol w:w="1331"/>
        <w:gridCol w:w="1144"/>
        <w:gridCol w:w="1556"/>
        <w:gridCol w:w="1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b/>
                <w:bCs/>
                <w:color w:val="000000"/>
              </w:rPr>
            </w:pPr>
            <w:r>
              <w:rPr>
                <w:rFonts w:ascii="Arial" w:hAnsi="Arial" w:eastAsia="Arial" w:cs="Arial"/>
                <w:b/>
                <w:bCs/>
                <w:color w:val="000000" w:themeColor="text1"/>
                <w14:textFill>
                  <w14:solidFill>
                    <w14:schemeClr w14:val="tx1"/>
                  </w14:solidFill>
                </w14:textFill>
              </w:rPr>
              <w:t>ITEM</w:t>
            </w:r>
          </w:p>
        </w:tc>
        <w:tc>
          <w:tcPr>
            <w:tcW w:w="3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color w:val="000000"/>
              </w:rPr>
            </w:pPr>
            <w:r>
              <w:rPr>
                <w:rFonts w:ascii="Arial" w:hAnsi="Arial" w:eastAsia="Arial" w:cs="Arial"/>
                <w:b/>
                <w:bCs/>
                <w:color w:val="000000" w:themeColor="text1"/>
                <w14:textFill>
                  <w14:solidFill>
                    <w14:schemeClr w14:val="tx1"/>
                  </w14:solidFill>
                </w14:textFill>
              </w:rPr>
              <w:t>ESPECIFICAÇÃO</w:t>
            </w: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color w:val="000000"/>
              </w:rPr>
            </w:pPr>
            <w:r>
              <w:rPr>
                <w:rFonts w:ascii="Arial" w:hAnsi="Arial" w:eastAsia="Arial" w:cs="Arial"/>
                <w:b/>
                <w:bCs/>
                <w:color w:val="000000" w:themeColor="text1"/>
                <w14:textFill>
                  <w14:solidFill>
                    <w14:schemeClr w14:val="tx1"/>
                  </w14:solidFill>
                </w14:textFill>
              </w:rPr>
              <w:t>UNIDADE DE MEDIDA</w:t>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QUANT.</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VALOR UNITÁRIO</w:t>
            </w: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288" w:afterLines="120" w:line="312" w:lineRule="auto"/>
              <w:jc w:val="center"/>
              <w:rPr>
                <w:rFonts w:ascii="Arial" w:hAnsi="Arial" w:eastAsia="Arial" w:cs="Arial"/>
                <w:b/>
                <w:bCs/>
              </w:rPr>
            </w:pPr>
            <w:r>
              <w:rPr>
                <w:rFonts w:ascii="Arial" w:hAnsi="Arial" w:eastAsia="Arial" w:cs="Arial"/>
                <w:b/>
                <w:bCs/>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ascii="Arial" w:hAnsi="Arial" w:eastAsia="Arial" w:cs="Arial"/>
                <w:b/>
                <w:bCs/>
                <w:color w:val="000000"/>
                <w:sz w:val="22"/>
                <w:szCs w:val="22"/>
              </w:rPr>
            </w:pPr>
            <w:r>
              <w:rPr>
                <w:rFonts w:ascii="Arial" w:hAnsi="Arial" w:eastAsia="Arial" w:cs="Arial"/>
                <w:b/>
                <w:bCs/>
                <w:color w:val="000000" w:themeColor="text1"/>
                <w:sz w:val="22"/>
                <w:szCs w:val="22"/>
                <w14:textFill>
                  <w14:solidFill>
                    <w14:schemeClr w14:val="tx1"/>
                  </w14:solidFill>
                </w14:textFill>
              </w:rPr>
              <w:t>1</w:t>
            </w:r>
          </w:p>
        </w:tc>
        <w:tc>
          <w:tcPr>
            <w:tcW w:w="337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both"/>
              <w:textAlignment w:val="auto"/>
              <w:rPr>
                <w:rFonts w:ascii="Arial" w:hAnsi="Arial" w:eastAsia="Arial" w:cs="Arial"/>
                <w:color w:val="000000"/>
                <w:sz w:val="22"/>
                <w:szCs w:val="22"/>
              </w:rPr>
            </w:pPr>
            <w:r>
              <w:rPr>
                <w:rFonts w:hint="default" w:ascii="Arial" w:hAnsi="Arial" w:eastAsia="Open Sans" w:cs="Arial"/>
                <w:color w:val="000000" w:themeColor="text1"/>
                <w:sz w:val="24"/>
                <w:szCs w:val="24"/>
                <w:lang w:val="pt-BR"/>
                <w14:textFill>
                  <w14:solidFill>
                    <w14:schemeClr w14:val="tx1"/>
                  </w14:solidFill>
                </w14:textFill>
              </w:rPr>
              <w:t>Prestação de serviços com caminhão de sucção “Limpa Fossa” para esgotamento sanitário do município de Arcos.</w:t>
            </w: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before="120" w:after="181" w:afterLines="50" w:line="360" w:lineRule="auto"/>
              <w:jc w:val="center"/>
              <w:textAlignment w:val="auto"/>
              <w:rPr>
                <w:rFonts w:hint="default" w:ascii="Arial" w:hAnsi="Arial" w:eastAsia="Arial" w:cs="Arial"/>
                <w:color w:val="000000"/>
                <w:sz w:val="22"/>
                <w:szCs w:val="22"/>
                <w:lang w:val="pt-BR" w:eastAsia="pt-BR" w:bidi="ar-SA"/>
              </w:rPr>
            </w:pPr>
            <w:r>
              <w:rPr>
                <w:rFonts w:hint="default" w:ascii="Arial" w:hAnsi="Arial" w:eastAsia="Arial" w:cs="Arial"/>
                <w:color w:val="000000"/>
                <w:sz w:val="22"/>
                <w:szCs w:val="22"/>
                <w:lang w:val="pt-BR"/>
              </w:rPr>
              <w:t>un</w:t>
            </w:r>
          </w:p>
        </w:tc>
        <w:tc>
          <w:tcPr>
            <w:tcW w:w="114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kinsoku/>
              <w:wordWrap/>
              <w:overflowPunct/>
              <w:topLinePunct w:val="0"/>
              <w:autoSpaceDE/>
              <w:autoSpaceDN/>
              <w:bidi w:val="0"/>
              <w:adjustRightInd/>
              <w:snapToGrid/>
              <w:spacing w:before="120" w:after="181" w:afterLines="50" w:line="360" w:lineRule="auto"/>
              <w:jc w:val="center"/>
              <w:textAlignment w:val="auto"/>
              <w:rPr>
                <w:rFonts w:hint="default" w:ascii="Arial" w:hAnsi="Arial" w:eastAsia="Arial" w:cs="Arial"/>
                <w:color w:val="000000"/>
                <w:sz w:val="22"/>
                <w:szCs w:val="22"/>
                <w:lang w:val="en-US" w:eastAsia="pt-BR" w:bidi="ar-SA"/>
              </w:rPr>
            </w:pPr>
            <w:r>
              <w:rPr>
                <w:rFonts w:hint="default" w:ascii="Arial" w:hAnsi="Arial" w:eastAsia="Arial" w:cs="Arial"/>
                <w:color w:val="000000"/>
                <w:sz w:val="22"/>
                <w:szCs w:val="22"/>
                <w:lang w:val="en-US" w:eastAsia="pt-BR" w:bidi="ar-SA"/>
              </w:rPr>
              <w:t>1.000</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ascii="Arial" w:hAnsi="Arial" w:eastAsia="Arial" w:cs="Arial"/>
                <w:color w:val="000000"/>
              </w:rPr>
            </w:pPr>
          </w:p>
        </w:tc>
        <w:tc>
          <w:tcPr>
            <w:tcW w:w="123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before="120" w:after="181" w:afterLines="50" w:line="360" w:lineRule="auto"/>
              <w:jc w:val="center"/>
              <w:textAlignment w:val="auto"/>
              <w:rPr>
                <w:rFonts w:ascii="Arial" w:hAnsi="Arial" w:eastAsia="Arial" w:cs="Arial"/>
                <w:color w:val="000000"/>
              </w:rPr>
            </w:pPr>
          </w:p>
        </w:tc>
      </w:tr>
    </w:tbl>
    <w:p>
      <w:pPr>
        <w:pStyle w:val="56"/>
        <w:spacing w:after="288" w:afterLines="120" w:line="312" w:lineRule="auto"/>
        <w:ind w:firstLine="709"/>
        <w:rPr>
          <w:sz w:val="24"/>
          <w:szCs w:val="24"/>
          <w:highlight w:val="none"/>
        </w:rPr>
      </w:pPr>
      <w:r>
        <w:rPr>
          <w:sz w:val="24"/>
          <w:szCs w:val="24"/>
          <w:highlight w:val="none"/>
        </w:rPr>
        <w:t>O objeto desta contratação não se enquadra como sendo de bem de luxo, conforme Decreto Municipal nº</w:t>
      </w:r>
      <w:r>
        <w:rPr>
          <w:rFonts w:hint="default"/>
          <w:sz w:val="24"/>
          <w:szCs w:val="24"/>
          <w:highlight w:val="none"/>
          <w:lang w:val="pt-BR"/>
        </w:rPr>
        <w:t xml:space="preserve"> 6535</w:t>
      </w:r>
      <w:r>
        <w:rPr>
          <w:sz w:val="24"/>
          <w:szCs w:val="24"/>
          <w:highlight w:val="none"/>
        </w:rPr>
        <w:t>/2023.</w:t>
      </w:r>
    </w:p>
    <w:p>
      <w:pPr>
        <w:pStyle w:val="56"/>
        <w:spacing w:after="288" w:afterLines="120" w:line="312" w:lineRule="auto"/>
        <w:ind w:firstLine="709"/>
        <w:rPr>
          <w:sz w:val="24"/>
          <w:szCs w:val="24"/>
          <w:highlight w:val="none"/>
        </w:rPr>
      </w:pPr>
      <w:r>
        <w:rPr>
          <w:sz w:val="24"/>
          <w:szCs w:val="24"/>
        </w:rPr>
        <w:t xml:space="preserve">Os bens objeto desta contratação são caracterizados como comuns, </w:t>
      </w:r>
      <w:r>
        <w:rPr>
          <w:sz w:val="24"/>
          <w:szCs w:val="24"/>
          <w:highlight w:val="none"/>
        </w:rPr>
        <w:t>conforme justificativa constante do Estudo Técnico Preliminar.</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O prazo de vigência da contratação é de </w:t>
      </w:r>
      <w:r>
        <w:rPr>
          <w:rFonts w:hint="default"/>
          <w:i w:val="0"/>
          <w:iCs w:val="0"/>
          <w:color w:val="auto"/>
          <w:sz w:val="24"/>
          <w:szCs w:val="24"/>
          <w:highlight w:val="none"/>
          <w:lang w:val="pt-BR"/>
        </w:rPr>
        <w:t xml:space="preserve">03 (três) meses </w:t>
      </w:r>
      <w:r>
        <w:rPr>
          <w:i w:val="0"/>
          <w:iCs w:val="0"/>
          <w:color w:val="auto"/>
          <w:sz w:val="24"/>
          <w:szCs w:val="24"/>
          <w:highlight w:val="none"/>
        </w:rPr>
        <w:t xml:space="preserve">contados do(a) </w:t>
      </w:r>
      <w:r>
        <w:rPr>
          <w:rFonts w:hint="default"/>
          <w:i w:val="0"/>
          <w:iCs w:val="0"/>
          <w:color w:val="auto"/>
          <w:sz w:val="24"/>
          <w:szCs w:val="24"/>
          <w:highlight w:val="none"/>
          <w:lang w:val="pt-BR"/>
        </w:rPr>
        <w:t>assinatura do contrato</w:t>
      </w:r>
      <w:r>
        <w:rPr>
          <w:i w:val="0"/>
          <w:iCs w:val="0"/>
          <w:color w:val="auto"/>
          <w:sz w:val="24"/>
          <w:szCs w:val="24"/>
          <w:highlight w:val="none"/>
        </w:rPr>
        <w:t>, na forma do artigo 105 da Lei n° 14.133, de 2021.</w:t>
      </w:r>
    </w:p>
    <w:p>
      <w:pPr>
        <w:pStyle w:val="56"/>
        <w:spacing w:after="288" w:afterLines="120" w:line="312" w:lineRule="auto"/>
        <w:ind w:firstLine="709"/>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firstLine="709"/>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2023. Os itens a serem aquiridos equadram-se em: Outros Serviços de Terceiros Pessoa Juridica.</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i w:val="0"/>
          <w:iCs w:val="0"/>
          <w:color w:val="auto"/>
          <w:sz w:val="24"/>
          <w:szCs w:val="24"/>
          <w:highlight w:val="none"/>
        </w:rPr>
        <w:t>, pelas razões constantes do Estudo Técnico Preliminar.</w:t>
      </w:r>
    </w:p>
    <w:p>
      <w:pPr>
        <w:pStyle w:val="39"/>
        <w:spacing w:before="120" w:after="288" w:afterLines="120" w:line="312" w:lineRule="auto"/>
        <w:rPr>
          <w:sz w:val="24"/>
          <w:szCs w:val="24"/>
        </w:rPr>
      </w:pPr>
      <w:r>
        <w:rPr>
          <w:sz w:val="24"/>
          <w:szCs w:val="24"/>
        </w:rPr>
        <w:t>MODELO DE EXECUÇÃO DO OBJETO</w:t>
      </w:r>
    </w:p>
    <w:p>
      <w:pPr>
        <w:keepNext w:val="0"/>
        <w:keepLines w:val="0"/>
        <w:pageBreakBefore w:val="0"/>
        <w:widowControl/>
        <w:kinsoku/>
        <w:wordWrap/>
        <w:overflowPunct/>
        <w:topLinePunct w:val="0"/>
        <w:autoSpaceDE/>
        <w:autoSpaceDN/>
        <w:bidi w:val="0"/>
        <w:adjustRightInd/>
        <w:snapToGrid/>
        <w:spacing w:before="181" w:beforeLines="50" w:after="181" w:afterLines="50" w:line="360" w:lineRule="auto"/>
        <w:jc w:val="both"/>
        <w:textAlignment w:val="auto"/>
        <w:rPr>
          <w:rFonts w:hint="default" w:ascii="Arial" w:hAnsi="Arial" w:eastAsia="Open Sans" w:cs="Arial"/>
          <w:b/>
          <w:bCs/>
          <w:color w:val="000000" w:themeColor="text1"/>
          <w:sz w:val="24"/>
          <w:szCs w:val="24"/>
          <w:lang w:val="pt-BR"/>
          <w14:textFill>
            <w14:solidFill>
              <w14:schemeClr w14:val="tx1"/>
            </w14:solidFill>
          </w14:textFill>
        </w:rPr>
      </w:pPr>
      <w:r>
        <w:rPr>
          <w:rFonts w:hint="default" w:ascii="Arial" w:hAnsi="Arial" w:eastAsia="Open Sans" w:cs="Arial"/>
          <w:b/>
          <w:bCs/>
          <w:color w:val="000000" w:themeColor="text1"/>
          <w:sz w:val="24"/>
          <w:szCs w:val="24"/>
          <w:lang w:val="pt-BR"/>
          <w14:textFill>
            <w14:solidFill>
              <w14:schemeClr w14:val="tx1"/>
            </w14:solidFill>
          </w14:textFill>
        </w:rPr>
        <w:t>CONDIÇÕES DE EXECUÇÃO:</w:t>
      </w:r>
    </w:p>
    <w:p>
      <w:pPr>
        <w:pStyle w:val="103"/>
        <w:spacing w:after="288"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w:t>
      </w:r>
      <w:r>
        <w:rPr>
          <w:i w:val="0"/>
          <w:iCs w:val="0"/>
          <w:color w:val="auto"/>
          <w:sz w:val="24"/>
          <w:szCs w:val="24"/>
          <w:highlight w:val="yellow"/>
          <w:lang w:val="pt-BR"/>
        </w:rPr>
        <w:t>inicio</w:t>
      </w:r>
      <w:r>
        <w:rPr>
          <w:rFonts w:hint="default"/>
          <w:i w:val="0"/>
          <w:iCs w:val="0"/>
          <w:color w:val="auto"/>
          <w:sz w:val="24"/>
          <w:szCs w:val="24"/>
          <w:highlight w:val="yellow"/>
          <w:lang w:val="pt-BR"/>
        </w:rPr>
        <w:t xml:space="preserve"> da </w:t>
      </w:r>
      <w:r>
        <w:rPr>
          <w:i w:val="0"/>
          <w:iCs w:val="0"/>
          <w:color w:val="auto"/>
          <w:sz w:val="24"/>
          <w:szCs w:val="24"/>
          <w:highlight w:val="yellow"/>
        </w:rPr>
        <w:t xml:space="preserve">execução do serviço é de </w:t>
      </w:r>
      <w:r>
        <w:rPr>
          <w:rFonts w:hint="default"/>
          <w:i w:val="0"/>
          <w:iCs w:val="0"/>
          <w:color w:val="auto"/>
          <w:sz w:val="24"/>
          <w:szCs w:val="24"/>
          <w:highlight w:val="yellow"/>
          <w:lang w:val="pt-BR"/>
        </w:rPr>
        <w:t>até 24</w:t>
      </w:r>
      <w:r>
        <w:rPr>
          <w:i w:val="0"/>
          <w:iCs w:val="0"/>
          <w:color w:val="auto"/>
          <w:sz w:val="24"/>
          <w:szCs w:val="24"/>
          <w:highlight w:val="yellow"/>
        </w:rPr>
        <w:t xml:space="preserve"> </w:t>
      </w:r>
      <w:r>
        <w:rPr>
          <w:rFonts w:hint="default"/>
          <w:i w:val="0"/>
          <w:iCs w:val="0"/>
          <w:color w:val="auto"/>
          <w:sz w:val="24"/>
          <w:szCs w:val="24"/>
          <w:highlight w:val="yellow"/>
          <w:lang w:val="pt-BR"/>
        </w:rPr>
        <w:t>horas corridas</w:t>
      </w:r>
      <w:r>
        <w:rPr>
          <w:i w:val="0"/>
          <w:iCs w:val="0"/>
          <w:color w:val="auto"/>
          <w:sz w:val="24"/>
          <w:szCs w:val="24"/>
          <w:highlight w:val="yellow"/>
        </w:rPr>
        <w:t>, contados d</w:t>
      </w:r>
      <w:r>
        <w:rPr>
          <w:rFonts w:hint="default"/>
          <w:i w:val="0"/>
          <w:iCs w:val="0"/>
          <w:color w:val="auto"/>
          <w:sz w:val="24"/>
          <w:szCs w:val="24"/>
          <w:highlight w:val="yellow"/>
          <w:lang w:val="pt-BR"/>
        </w:rPr>
        <w:t>o recebimento da ordem de serviço</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rPr>
        <w:t xml:space="preserve">O serviço poderá ocorrer em regime de plantão, devendo ser realizado de forma IMEDIATO (em caráter de urgência) a partir do recebimento da ordem de execução de serviço. De forma que a execução dos serviços não venha a ocasionar ao </w:t>
      </w:r>
      <w:r>
        <w:rPr>
          <w:rFonts w:hint="default"/>
          <w:i w:val="0"/>
          <w:iCs w:val="0"/>
          <w:color w:val="auto"/>
          <w:sz w:val="24"/>
          <w:szCs w:val="24"/>
          <w:highlight w:val="yellow"/>
          <w:lang w:val="pt-BR"/>
        </w:rPr>
        <w:t>Município</w:t>
      </w:r>
      <w:r>
        <w:rPr>
          <w:rFonts w:hint="default"/>
          <w:i w:val="0"/>
          <w:iCs w:val="0"/>
          <w:color w:val="auto"/>
          <w:sz w:val="24"/>
          <w:szCs w:val="24"/>
          <w:highlight w:val="yellow"/>
        </w:rPr>
        <w:t xml:space="preserve"> problemas com órgãos fiscalizadores e licenciadores sobre a matéria.</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 A contagem d</w:t>
      </w:r>
      <w:r>
        <w:rPr>
          <w:rFonts w:hint="default"/>
          <w:i w:val="0"/>
          <w:iCs w:val="0"/>
          <w:color w:val="auto"/>
          <w:sz w:val="24"/>
          <w:szCs w:val="24"/>
          <w:highlight w:val="yellow"/>
          <w:lang w:val="pt-BR"/>
        </w:rPr>
        <w:t>o</w:t>
      </w:r>
      <w:r>
        <w:rPr>
          <w:rFonts w:hint="default"/>
          <w:i w:val="0"/>
          <w:iCs w:val="0"/>
          <w:color w:val="auto"/>
          <w:sz w:val="24"/>
          <w:szCs w:val="24"/>
          <w:highlight w:val="yellow"/>
        </w:rPr>
        <w:t xml:space="preserve"> </w:t>
      </w:r>
      <w:r>
        <w:rPr>
          <w:rFonts w:hint="default"/>
          <w:i w:val="0"/>
          <w:iCs w:val="0"/>
          <w:color w:val="auto"/>
          <w:sz w:val="24"/>
          <w:szCs w:val="24"/>
          <w:highlight w:val="yellow"/>
          <w:lang w:val="pt-BR"/>
        </w:rPr>
        <w:t xml:space="preserve">serviço se </w:t>
      </w:r>
      <w:r>
        <w:rPr>
          <w:rFonts w:hint="default"/>
          <w:i w:val="0"/>
          <w:iCs w:val="0"/>
          <w:color w:val="auto"/>
          <w:sz w:val="24"/>
          <w:szCs w:val="24"/>
          <w:highlight w:val="yellow"/>
        </w:rPr>
        <w:t xml:space="preserve">iniciará no momento da </w:t>
      </w:r>
      <w:r>
        <w:rPr>
          <w:rFonts w:hint="default"/>
          <w:i w:val="0"/>
          <w:iCs w:val="0"/>
          <w:color w:val="auto"/>
          <w:sz w:val="24"/>
          <w:szCs w:val="24"/>
          <w:highlight w:val="yellow"/>
          <w:lang w:val="pt-BR"/>
        </w:rPr>
        <w:t>chegada do equipamento</w:t>
      </w:r>
      <w:r>
        <w:rPr>
          <w:rFonts w:hint="default"/>
          <w:i w:val="0"/>
          <w:iCs w:val="0"/>
          <w:color w:val="auto"/>
          <w:sz w:val="24"/>
          <w:szCs w:val="24"/>
          <w:highlight w:val="yellow"/>
        </w:rPr>
        <w:t xml:space="preserve"> e terminará no momento </w:t>
      </w:r>
      <w:r>
        <w:rPr>
          <w:rFonts w:hint="default"/>
          <w:i w:val="0"/>
          <w:iCs w:val="0"/>
          <w:color w:val="auto"/>
          <w:sz w:val="24"/>
          <w:szCs w:val="24"/>
          <w:highlight w:val="yellow"/>
          <w:lang w:val="pt-BR"/>
        </w:rPr>
        <w:t>que a fossa estiver completamente limpa</w:t>
      </w:r>
      <w:r>
        <w:rPr>
          <w:rFonts w:hint="default"/>
          <w:i w:val="0"/>
          <w:iCs w:val="0"/>
          <w:color w:val="auto"/>
          <w:sz w:val="24"/>
          <w:szCs w:val="24"/>
          <w:highlight w:val="yellow"/>
        </w:rPr>
        <w:t>, o qual deverá ser agendada diretamente com a preponente vencedora</w:t>
      </w:r>
      <w:r>
        <w:rPr>
          <w:rFonts w:hint="default"/>
          <w:i w:val="0"/>
          <w:iCs w:val="0"/>
          <w:color w:val="auto"/>
          <w:sz w:val="24"/>
          <w:szCs w:val="24"/>
          <w:highlight w:val="yellow"/>
          <w:lang w:val="pt-BR"/>
        </w:rPr>
        <w:t>.</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Em relação aos itens os locais de execução do serviço serão designados pelas secretarias requisitantes, </w:t>
      </w:r>
      <w:r>
        <w:rPr>
          <w:rFonts w:hint="default"/>
          <w:i w:val="0"/>
          <w:iCs w:val="0"/>
          <w:color w:val="auto"/>
          <w:sz w:val="24"/>
          <w:szCs w:val="24"/>
          <w:highlight w:val="yellow"/>
          <w:lang w:val="pt-BR"/>
        </w:rPr>
        <w:t xml:space="preserve">na área urbana ou em </w:t>
      </w:r>
      <w:r>
        <w:rPr>
          <w:rFonts w:hint="default"/>
          <w:i w:val="0"/>
          <w:iCs w:val="0"/>
          <w:color w:val="auto"/>
          <w:sz w:val="24"/>
          <w:szCs w:val="24"/>
          <w:highlight w:val="yellow"/>
        </w:rPr>
        <w:t xml:space="preserve"> zonas rurais do município.</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 xml:space="preserve">O </w:t>
      </w:r>
      <w:r>
        <w:rPr>
          <w:rFonts w:hint="default"/>
          <w:i w:val="0"/>
          <w:iCs w:val="0"/>
          <w:color w:val="auto"/>
          <w:sz w:val="24"/>
          <w:szCs w:val="24"/>
          <w:highlight w:val="yellow"/>
          <w:lang w:val="pt-BR"/>
        </w:rPr>
        <w:t xml:space="preserve">equipamento </w:t>
      </w:r>
      <w:r>
        <w:rPr>
          <w:rFonts w:hint="default"/>
          <w:i w:val="0"/>
          <w:iCs w:val="0"/>
          <w:color w:val="auto"/>
          <w:sz w:val="24"/>
          <w:szCs w:val="24"/>
          <w:highlight w:val="yellow"/>
        </w:rPr>
        <w:t>dever</w:t>
      </w:r>
      <w:r>
        <w:rPr>
          <w:rFonts w:hint="default"/>
          <w:i w:val="0"/>
          <w:iCs w:val="0"/>
          <w:color w:val="auto"/>
          <w:sz w:val="24"/>
          <w:szCs w:val="24"/>
          <w:highlight w:val="yellow"/>
          <w:lang w:val="pt-BR"/>
        </w:rPr>
        <w:t>á</w:t>
      </w:r>
      <w:r>
        <w:rPr>
          <w:rFonts w:hint="default"/>
          <w:i w:val="0"/>
          <w:iCs w:val="0"/>
          <w:color w:val="auto"/>
          <w:sz w:val="24"/>
          <w:szCs w:val="24"/>
          <w:highlight w:val="yellow"/>
        </w:rPr>
        <w:t xml:space="preserve"> ser apresentado, juntamente com o respectivo motorista/operador</w:t>
      </w:r>
      <w:r>
        <w:rPr>
          <w:rFonts w:hint="default"/>
          <w:i w:val="0"/>
          <w:iCs w:val="0"/>
          <w:color w:val="auto"/>
          <w:sz w:val="24"/>
          <w:szCs w:val="24"/>
          <w:highlight w:val="yellow"/>
          <w:lang w:val="pt-BR"/>
        </w:rPr>
        <w:t xml:space="preserve">, </w:t>
      </w:r>
      <w:r>
        <w:rPr>
          <w:rFonts w:hint="default"/>
          <w:i w:val="0"/>
          <w:iCs w:val="0"/>
          <w:color w:val="auto"/>
          <w:sz w:val="24"/>
          <w:szCs w:val="24"/>
          <w:highlight w:val="yellow"/>
        </w:rPr>
        <w:t>sendo que o mesmo deve estar portando os documentos obrigatórios referente ao veículo e documento de habilitação do motorista/operador.</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A empresa deverá manter os veículos em perfeitas condições de uso, bem como a realização de manutenções preventivas e corretivas, e em caso de necessidade da substituição do veículo ou do operador que impeça a execução dos trabalhos, a empresa vencedora deverá providenciar a devida substituição no prazo máximo de 24 (vinte e quatro) horas.</w:t>
      </w:r>
    </w:p>
    <w:p>
      <w:pPr>
        <w:pStyle w:val="103"/>
        <w:spacing w:after="288" w:afterLines="120" w:line="312" w:lineRule="auto"/>
        <w:ind w:firstLine="709"/>
        <w:rPr>
          <w:rFonts w:hint="default"/>
          <w:i w:val="0"/>
          <w:iCs w:val="0"/>
          <w:color w:val="auto"/>
          <w:sz w:val="24"/>
          <w:szCs w:val="24"/>
          <w:highlight w:val="yellow"/>
        </w:rPr>
      </w:pPr>
      <w:r>
        <w:rPr>
          <w:rFonts w:hint="default"/>
          <w:i w:val="0"/>
          <w:iCs w:val="0"/>
          <w:color w:val="auto"/>
          <w:sz w:val="24"/>
          <w:szCs w:val="24"/>
          <w:highlight w:val="yellow"/>
        </w:rPr>
        <w:t>Os serviços da locação de máquinas com os respectivos operadores, poderão ser realizadas de segunda a domingo,  em horário comercial</w:t>
      </w:r>
      <w:r>
        <w:rPr>
          <w:rFonts w:hint="default"/>
          <w:i w:val="0"/>
          <w:iCs w:val="0"/>
          <w:color w:val="auto"/>
          <w:sz w:val="24"/>
          <w:szCs w:val="24"/>
          <w:highlight w:val="yellow"/>
          <w:lang w:val="pt-BR"/>
        </w:rPr>
        <w:t xml:space="preserve">, </w:t>
      </w:r>
      <w:r>
        <w:rPr>
          <w:rFonts w:hint="default"/>
          <w:i w:val="0"/>
          <w:iCs w:val="0"/>
          <w:color w:val="auto"/>
          <w:sz w:val="24"/>
          <w:szCs w:val="24"/>
          <w:highlight w:val="yellow"/>
        </w:rPr>
        <w:t>se necessário,</w:t>
      </w:r>
      <w:r>
        <w:rPr>
          <w:rFonts w:hint="default"/>
          <w:i w:val="0"/>
          <w:iCs w:val="0"/>
          <w:color w:val="auto"/>
          <w:sz w:val="24"/>
          <w:szCs w:val="24"/>
          <w:highlight w:val="yellow"/>
          <w:lang w:val="pt-BR"/>
        </w:rPr>
        <w:t xml:space="preserve"> extra-comercial sem ônus ao município</w:t>
      </w:r>
      <w:r>
        <w:rPr>
          <w:rFonts w:hint="default"/>
          <w:i w:val="0"/>
          <w:iCs w:val="0"/>
          <w:color w:val="auto"/>
          <w:sz w:val="24"/>
          <w:szCs w:val="24"/>
          <w:highlight w:val="yellow"/>
        </w:rPr>
        <w:t>.</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rPr>
        <w:t>A empresa vencedora dever</w:t>
      </w:r>
      <w:r>
        <w:rPr>
          <w:rFonts w:hint="default"/>
          <w:i w:val="0"/>
          <w:iCs w:val="0"/>
          <w:color w:val="auto"/>
          <w:sz w:val="24"/>
          <w:szCs w:val="24"/>
          <w:highlight w:val="yellow"/>
          <w:lang w:val="pt-BR"/>
        </w:rPr>
        <w:t>á</w:t>
      </w:r>
      <w:r>
        <w:rPr>
          <w:rFonts w:hint="default"/>
          <w:i w:val="0"/>
          <w:iCs w:val="0"/>
          <w:color w:val="auto"/>
          <w:sz w:val="24"/>
          <w:szCs w:val="24"/>
          <w:highlight w:val="yellow"/>
        </w:rPr>
        <w:t xml:space="preserve"> fornecer os devidos equipamentos de proteção individual (EPI) aos seus funcionários durante a execução dos serviços prestados</w:t>
      </w:r>
      <w:r>
        <w:rPr>
          <w:rFonts w:hint="default"/>
          <w:i w:val="0"/>
          <w:iCs w:val="0"/>
          <w:color w:val="auto"/>
          <w:sz w:val="24"/>
          <w:szCs w:val="24"/>
          <w:highlight w:val="yellow"/>
          <w:lang w:val="pt-BR"/>
        </w:rPr>
        <w:t>.</w:t>
      </w:r>
    </w:p>
    <w:p>
      <w:pPr>
        <w:pStyle w:val="103"/>
        <w:spacing w:after="288" w:afterLines="120" w:line="312" w:lineRule="auto"/>
        <w:ind w:firstLine="709"/>
        <w:rPr>
          <w:i w:val="0"/>
          <w:iCs w:val="0"/>
          <w:color w:val="auto"/>
          <w:sz w:val="24"/>
          <w:szCs w:val="24"/>
          <w:highlight w:val="yellow"/>
        </w:rPr>
      </w:pPr>
      <w:r>
        <w:rPr>
          <w:rFonts w:hint="default"/>
          <w:i w:val="0"/>
          <w:iCs w:val="0"/>
          <w:color w:val="auto"/>
          <w:sz w:val="24"/>
          <w:szCs w:val="24"/>
          <w:highlight w:val="yellow"/>
          <w:lang w:val="pt-BR"/>
        </w:rPr>
        <w:t>Q</w:t>
      </w:r>
      <w:r>
        <w:rPr>
          <w:rFonts w:hint="default"/>
          <w:i w:val="0"/>
          <w:iCs w:val="0"/>
          <w:color w:val="auto"/>
          <w:sz w:val="24"/>
          <w:szCs w:val="24"/>
          <w:highlight w:val="yellow"/>
        </w:rPr>
        <w:t>ualquer dano ambiental ou material causado durante os serviços da contratada por seus operadores ou máquinas será de responsabilidade da empresa, bem como a reconstrução ou ressarcimento necessários, não havendo custos adicionais ao município.</w:t>
      </w:r>
    </w:p>
    <w:p>
      <w:pPr>
        <w:pStyle w:val="103"/>
        <w:spacing w:after="288" w:afterLines="120" w:line="312" w:lineRule="auto"/>
        <w:ind w:firstLine="709"/>
        <w:rPr>
          <w:rFonts w:ascii="Arial" w:hAnsi="Arial" w:eastAsia="Times New Roman" w:cs="Arial"/>
          <w:color w:val="000000"/>
          <w:sz w:val="24"/>
          <w:szCs w:val="24"/>
          <w:lang w:eastAsia="pt-BR"/>
        </w:rPr>
      </w:pPr>
      <w:r>
        <w:rPr>
          <w:rFonts w:hint="default"/>
          <w:i w:val="0"/>
          <w:iCs w:val="0"/>
          <w:color w:val="auto"/>
          <w:sz w:val="24"/>
          <w:szCs w:val="24"/>
          <w:highlight w:val="yellow"/>
          <w:lang w:val="pt-BR"/>
        </w:rPr>
        <w:t>Todas as despesas oriundas com o operador/motoristas, como diárias, refeições, taxas, etc. serão de responsabilidade da Contratada.</w:t>
      </w:r>
    </w:p>
    <w:p>
      <w:pPr>
        <w:pStyle w:val="103"/>
        <w:spacing w:after="288" w:afterLines="120" w:line="312" w:lineRule="auto"/>
        <w:ind w:firstLine="709"/>
        <w:rPr>
          <w:rFonts w:ascii="Arial" w:hAnsi="Arial" w:eastAsia="Times New Roman" w:cs="Arial"/>
          <w:i w:val="0"/>
          <w:iCs w:val="0"/>
          <w:color w:val="000000"/>
          <w:sz w:val="24"/>
          <w:szCs w:val="24"/>
          <w:lang w:eastAsia="pt-BR"/>
        </w:rPr>
      </w:pPr>
      <w:r>
        <w:rPr>
          <w:rFonts w:hint="default" w:ascii="Arial" w:hAnsi="Arial" w:eastAsia="Open Sans" w:cs="Arial"/>
          <w:i w:val="0"/>
          <w:iCs w:val="0"/>
          <w:color w:val="000000" w:themeColor="text1"/>
          <w:sz w:val="24"/>
          <w:szCs w:val="24"/>
          <w:lang w:val="pt-BR"/>
          <w14:textFill>
            <w14:solidFill>
              <w14:schemeClr w14:val="tx1"/>
            </w14:solidFill>
          </w14:textFill>
        </w:rPr>
        <w:t>A capacidade mínima do caminhão deverá ser de 8.000 litros.</w:t>
      </w:r>
      <w:r>
        <w:rPr>
          <w:rFonts w:ascii="Arial" w:hAnsi="Arial" w:eastAsia="Times New Roman" w:cs="Arial"/>
          <w:i w:val="0"/>
          <w:iCs w:val="0"/>
          <w:color w:val="000000"/>
          <w:sz w:val="24"/>
          <w:szCs w:val="24"/>
          <w:lang w:eastAsia="pt-BR"/>
        </w:rPr>
        <w:t xml:space="preserve"> </w:t>
      </w:r>
    </w:p>
    <w:p>
      <w:pPr>
        <w:keepNext w:val="0"/>
        <w:keepLines w:val="0"/>
        <w:pageBreakBefore w:val="0"/>
        <w:widowControl/>
        <w:kinsoku/>
        <w:wordWrap/>
        <w:overflowPunct/>
        <w:topLinePunct w:val="0"/>
        <w:autoSpaceDE/>
        <w:autoSpaceDN/>
        <w:bidi w:val="0"/>
        <w:adjustRightInd/>
        <w:snapToGrid/>
        <w:spacing w:before="181" w:beforeLines="50" w:after="181" w:afterLines="50" w:line="360" w:lineRule="auto"/>
        <w:jc w:val="both"/>
        <w:textAlignment w:val="auto"/>
        <w:rPr>
          <w:rFonts w:hint="default" w:ascii="Arial" w:hAnsi="Arial" w:eastAsia="Open Sans" w:cs="Arial"/>
          <w:color w:val="000000" w:themeColor="text1"/>
          <w:sz w:val="24"/>
          <w:szCs w:val="24"/>
          <w:lang w:val="pt-BR"/>
          <w14:textFill>
            <w14:solidFill>
              <w14:schemeClr w14:val="tx1"/>
            </w14:solidFill>
          </w14:textFill>
        </w:rPr>
      </w:pPr>
      <w:r>
        <w:rPr>
          <w:rFonts w:hint="default" w:ascii="Arial" w:hAnsi="Arial" w:eastAsia="Open Sans" w:cs="Arial"/>
          <w:b/>
          <w:bCs/>
          <w:color w:val="000000" w:themeColor="text1"/>
          <w:sz w:val="24"/>
          <w:szCs w:val="24"/>
          <w:lang w:val="pt-BR"/>
          <w14:textFill>
            <w14:solidFill>
              <w14:schemeClr w14:val="tx1"/>
            </w14:solidFill>
          </w14:textFill>
        </w:rPr>
        <w:t>DOS MATERIAIS:</w:t>
      </w:r>
    </w:p>
    <w:p>
      <w:pPr>
        <w:pStyle w:val="103"/>
        <w:spacing w:after="288" w:afterLines="120" w:line="312" w:lineRule="auto"/>
        <w:ind w:firstLine="709"/>
        <w:rPr>
          <w:sz w:val="24"/>
          <w:szCs w:val="24"/>
        </w:rPr>
      </w:pPr>
      <w:r>
        <w:rPr>
          <w:rFonts w:hint="default" w:ascii="Arial" w:hAnsi="Arial" w:eastAsia="Open Sans" w:cs="Arial"/>
          <w:color w:val="000000" w:themeColor="text1"/>
          <w:sz w:val="24"/>
          <w:szCs w:val="24"/>
          <w:lang w:val="pt-BR"/>
          <w14:textFill>
            <w14:solidFill>
              <w14:schemeClr w14:val="tx1"/>
            </w14:solidFill>
          </w14:textFill>
        </w:rPr>
        <w:t>Todos os materiais e serviços utilizados para execução desta proposta serão fornecidos pela Contratada em conforme a necessidade da Secretaria requisitante.</w:t>
      </w:r>
    </w:p>
    <w:p>
      <w:pPr>
        <w:pStyle w:val="39"/>
        <w:spacing w:before="120" w:after="288" w:afterLines="120" w:line="312" w:lineRule="auto"/>
        <w:rPr>
          <w:sz w:val="24"/>
          <w:szCs w:val="24"/>
        </w:rPr>
      </w:pPr>
      <w:r>
        <w:rPr>
          <w:sz w:val="24"/>
          <w:szCs w:val="24"/>
        </w:rPr>
        <w:t>GESTÃO DO CONTRATO</w:t>
      </w:r>
      <w:r>
        <w:rPr>
          <w:rFonts w:hint="default"/>
          <w:sz w:val="24"/>
          <w:szCs w:val="24"/>
          <w:lang w:val="pt-BR"/>
        </w:rPr>
        <w:t>/EMPENHO</w:t>
      </w:r>
    </w:p>
    <w:p>
      <w:pPr>
        <w:pStyle w:val="56"/>
        <w:spacing w:after="288"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firstLine="709"/>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firstLine="709"/>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firstLine="709"/>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firstLine="709"/>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firstLine="709"/>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o servidor </w:t>
      </w:r>
      <w:r>
        <w:rPr>
          <w:rFonts w:hint="default"/>
          <w:sz w:val="24"/>
          <w:szCs w:val="24"/>
          <w:lang w:val="pt-BR"/>
        </w:rPr>
        <w:t>Sr. Kennedy Wanderson Calixto MASP: 90999/0</w:t>
      </w:r>
      <w:r>
        <w:rPr>
          <w:sz w:val="24"/>
          <w:szCs w:val="24"/>
        </w:rPr>
        <w:t xml:space="preserve"> para atuar como fiscal do contrato e o servidor</w:t>
      </w:r>
      <w:r>
        <w:rPr>
          <w:rFonts w:hint="default"/>
          <w:sz w:val="24"/>
          <w:szCs w:val="24"/>
          <w:lang w:val="pt-BR"/>
        </w:rPr>
        <w:t xml:space="preserve"> Sr. Daniel Ribeiro Mendonça </w:t>
      </w:r>
      <w:r>
        <w:rPr>
          <w:sz w:val="24"/>
          <w:szCs w:val="24"/>
        </w:rPr>
        <w:t>para atuar como gestor do contrato.</w:t>
      </w:r>
    </w:p>
    <w:p>
      <w:pPr>
        <w:pStyle w:val="56"/>
        <w:spacing w:after="288"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firstLine="709"/>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firstLine="709"/>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w:t>
      </w:r>
      <w:r>
        <w:rPr>
          <w:rFonts w:hint="default"/>
          <w:color w:val="auto"/>
          <w:sz w:val="24"/>
          <w:szCs w:val="24"/>
          <w:lang w:val="pt-BR" w:eastAsia="en-US"/>
        </w:rPr>
        <w:t>s</w:t>
      </w:r>
      <w:r>
        <w:rPr>
          <w:color w:val="auto"/>
          <w:sz w:val="24"/>
          <w:szCs w:val="24"/>
          <w:lang w:eastAsia="en-US"/>
        </w:rPr>
        <w:t xml:space="preserve"> </w:t>
      </w:r>
      <w:r>
        <w:rPr>
          <w:rFonts w:hint="default"/>
          <w:color w:val="auto"/>
          <w:sz w:val="24"/>
          <w:szCs w:val="24"/>
          <w:lang w:val="pt-BR" w:eastAsia="en-US"/>
        </w:rPr>
        <w:t>Serviços</w:t>
      </w:r>
    </w:p>
    <w:p>
      <w:pPr>
        <w:pStyle w:val="56"/>
        <w:spacing w:after="288" w:afterLines="120" w:line="312" w:lineRule="auto"/>
        <w:ind w:firstLine="709"/>
        <w:rPr>
          <w:sz w:val="24"/>
          <w:szCs w:val="24"/>
          <w:lang w:eastAsia="en-US"/>
        </w:rPr>
      </w:pPr>
      <w:r>
        <w:rPr>
          <w:sz w:val="24"/>
          <w:szCs w:val="24"/>
          <w:lang w:eastAsia="en-US"/>
        </w:rPr>
        <w:t xml:space="preserve">Os </w:t>
      </w:r>
      <w:r>
        <w:rPr>
          <w:rFonts w:hint="default"/>
          <w:sz w:val="24"/>
          <w:szCs w:val="24"/>
          <w:lang w:val="pt-BR" w:eastAsia="en-US"/>
        </w:rPr>
        <w:t>serviços</w:t>
      </w:r>
      <w:r>
        <w:rPr>
          <w:sz w:val="24"/>
          <w:szCs w:val="24"/>
          <w:lang w:eastAsia="en-US"/>
        </w:rPr>
        <w:t xml:space="preserve"> serão recebidos de forma sumária,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56"/>
        <w:spacing w:after="288" w:afterLines="120" w:line="312" w:lineRule="auto"/>
        <w:ind w:firstLine="709"/>
        <w:rPr>
          <w:sz w:val="24"/>
          <w:szCs w:val="24"/>
          <w:lang w:eastAsia="en-US"/>
        </w:rPr>
      </w:pPr>
      <w:r>
        <w:rPr>
          <w:sz w:val="24"/>
          <w:szCs w:val="24"/>
          <w:lang w:eastAsia="en-US"/>
        </w:rPr>
        <w:t xml:space="preserve">Os </w:t>
      </w:r>
      <w:r>
        <w:rPr>
          <w:rFonts w:hint="default"/>
          <w:sz w:val="24"/>
          <w:szCs w:val="24"/>
          <w:lang w:val="pt-BR" w:eastAsia="en-US"/>
        </w:rPr>
        <w:t xml:space="preserve">serviços </w:t>
      </w:r>
      <w:r>
        <w:rPr>
          <w:sz w:val="24"/>
          <w:szCs w:val="24"/>
          <w:lang w:eastAsia="en-US"/>
        </w:rPr>
        <w:t xml:space="preserve">poderão ser rejeitados, no todo ou em parte,  quando em desacordo com as especificações constantes no Termo de Referênciae na proposta, devendo ser substituídos no prazo </w:t>
      </w:r>
      <w:r>
        <w:rPr>
          <w:color w:val="auto"/>
          <w:sz w:val="24"/>
          <w:szCs w:val="24"/>
          <w:lang w:eastAsia="en-US"/>
        </w:rPr>
        <w:t xml:space="preserve">de </w:t>
      </w:r>
      <w:r>
        <w:rPr>
          <w:rFonts w:hint="default"/>
          <w:color w:val="auto"/>
          <w:sz w:val="24"/>
          <w:szCs w:val="24"/>
          <w:lang w:val="pt-BR" w:eastAsia="en-US"/>
        </w:rPr>
        <w:t xml:space="preserve">05 </w:t>
      </w:r>
      <w:r>
        <w:rPr>
          <w:color w:val="auto"/>
          <w:sz w:val="24"/>
          <w:szCs w:val="24"/>
          <w:highlight w:val="none"/>
          <w:lang w:eastAsia="en-US"/>
        </w:rPr>
        <w:t>(</w:t>
      </w:r>
      <w:r>
        <w:rPr>
          <w:rFonts w:hint="default"/>
          <w:color w:val="auto"/>
          <w:sz w:val="24"/>
          <w:szCs w:val="24"/>
          <w:highlight w:val="none"/>
          <w:lang w:val="pt-BR" w:eastAsia="en-US"/>
        </w:rPr>
        <w:t>cinco</w:t>
      </w:r>
      <w:r>
        <w:rPr>
          <w:color w:val="auto"/>
          <w:sz w:val="24"/>
          <w:szCs w:val="24"/>
          <w:highlight w:val="none"/>
          <w:lang w:eastAsia="en-US"/>
        </w:rPr>
        <w:t>)</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firstLine="709"/>
        <w:rPr>
          <w:sz w:val="24"/>
          <w:szCs w:val="24"/>
          <w:highlight w:val="none"/>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w:t>
      </w:r>
      <w:r>
        <w:rPr>
          <w:sz w:val="24"/>
          <w:szCs w:val="24"/>
          <w:highlight w:val="none"/>
          <w:lang w:eastAsia="en-US"/>
        </w:rPr>
        <w:t xml:space="preserve">onsulta aos sítios eletrônicos oficiais ou à documentação mencionada no </w:t>
      </w:r>
      <w:r>
        <w:rPr>
          <w:highlight w:val="none"/>
        </w:rPr>
        <w:fldChar w:fldCharType="begin"/>
      </w:r>
      <w:r>
        <w:rPr>
          <w:highlight w:val="none"/>
        </w:rPr>
        <w:instrText xml:space="preserve"> HYPERLINK "http://www.planalto.gov.br/ccivil_03/_ato2019-2022/2021/lei/L14133.htm" \l "art68" </w:instrText>
      </w:r>
      <w:r>
        <w:rPr>
          <w:highlight w:val="none"/>
        </w:rPr>
        <w:fldChar w:fldCharType="separate"/>
      </w:r>
      <w:r>
        <w:rPr>
          <w:rStyle w:val="13"/>
          <w:sz w:val="24"/>
          <w:szCs w:val="24"/>
          <w:highlight w:val="none"/>
          <w:lang w:eastAsia="en-US"/>
        </w:rPr>
        <w:t xml:space="preserve">art. 68 da Lei nº 14.133, de 2021.  </w:t>
      </w:r>
      <w:r>
        <w:rPr>
          <w:rStyle w:val="13"/>
          <w:sz w:val="24"/>
          <w:szCs w:val="24"/>
          <w:highlight w:val="none"/>
          <w:lang w:eastAsia="en-US"/>
        </w:rPr>
        <w:fldChar w:fldCharType="end"/>
      </w:r>
    </w:p>
    <w:p>
      <w:pPr>
        <w:pStyle w:val="103"/>
        <w:spacing w:after="288" w:afterLines="120" w:line="312" w:lineRule="auto"/>
        <w:ind w:firstLine="709"/>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firstLine="709"/>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firstLine="709"/>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firstLine="709"/>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firstLine="709"/>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highlight w:val="none"/>
          <w:lang w:eastAsia="en-US"/>
        </w:rPr>
      </w:pPr>
      <w:r>
        <w:rPr>
          <w:color w:val="auto"/>
          <w:sz w:val="24"/>
          <w:szCs w:val="24"/>
          <w:lang w:eastAsia="en-US"/>
        </w:rPr>
        <w:t>Prazo de pagamento</w:t>
      </w:r>
    </w:p>
    <w:p>
      <w:pPr>
        <w:pStyle w:val="56"/>
        <w:spacing w:after="288" w:afterLines="120" w:line="312" w:lineRule="auto"/>
        <w:ind w:firstLine="709"/>
        <w:rPr>
          <w:sz w:val="24"/>
          <w:szCs w:val="24"/>
          <w:highlight w:val="none"/>
        </w:rPr>
      </w:pPr>
      <w:r>
        <w:rPr>
          <w:sz w:val="24"/>
          <w:szCs w:val="24"/>
          <w:highlight w:val="none"/>
        </w:rPr>
        <w:t>O pagamento será efetuado no prazo de até trinta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firstLine="709"/>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firstLine="709"/>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firstLine="709"/>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Registro de Preços</w:t>
      </w:r>
      <w:r>
        <w:rPr>
          <w:rFonts w:eastAsia="Arial"/>
          <w:sz w:val="24"/>
          <w:szCs w:val="24"/>
        </w:rPr>
        <w:t>, sob a forma ELETRÔNICA, com adoção do critério de julgamento pelo</w:t>
      </w:r>
      <w:r>
        <w:rPr>
          <w:rFonts w:hint="default" w:eastAsia="Arial"/>
          <w:sz w:val="24"/>
          <w:szCs w:val="24"/>
          <w:lang w:val="pt-BR"/>
        </w:rPr>
        <w:t xml:space="preserve"> menor preço por item.</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firstLine="709"/>
        <w:rPr>
          <w:sz w:val="24"/>
          <w:szCs w:val="24"/>
          <w:highlight w:val="none"/>
        </w:rPr>
      </w:pPr>
      <w:r>
        <w:rPr>
          <w:sz w:val="24"/>
          <w:szCs w:val="24"/>
          <w:highlight w:val="none"/>
        </w:rPr>
        <w:t>Para fins de habilitação, deverá o licitante comprovar os seguintes requisitos:</w:t>
      </w:r>
    </w:p>
    <w:p>
      <w:pPr>
        <w:pStyle w:val="109"/>
        <w:spacing w:before="120" w:after="288" w:afterLines="120" w:line="312" w:lineRule="auto"/>
        <w:rPr>
          <w:sz w:val="24"/>
          <w:szCs w:val="24"/>
        </w:rPr>
      </w:pPr>
      <w:r>
        <w:rPr>
          <w:color w:val="auto"/>
          <w:sz w:val="24"/>
          <w:szCs w:val="24"/>
          <w:highlight w:val="none"/>
          <w:lang w:eastAsia="zh-CN" w:bidi="hi-IN"/>
        </w:rPr>
        <w:t>Habilitação jurídica</w:t>
      </w:r>
      <w:r>
        <w:rPr>
          <w:sz w:val="24"/>
          <w:szCs w:val="24"/>
        </w:rPr>
        <w:t xml:space="preserve"> </w:t>
      </w:r>
    </w:p>
    <w:p>
      <w:pPr>
        <w:pStyle w:val="56"/>
        <w:spacing w:after="288"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firstLine="709"/>
        <w:rPr>
          <w:sz w:val="24"/>
          <w:szCs w:val="24"/>
          <w:highlight w:val="none"/>
        </w:rPr>
      </w:pPr>
      <w:r>
        <w:rPr>
          <w:b/>
          <w:bCs/>
          <w:sz w:val="24"/>
          <w:szCs w:val="24"/>
        </w:rPr>
        <w:t xml:space="preserve">Sociedade empresária, sociedade limitada unipessoal – SLU ou sociedade identificada como empresa individual de responsabilidade limitada - </w:t>
      </w:r>
      <w:r>
        <w:rPr>
          <w:b/>
          <w:bCs/>
          <w:sz w:val="24"/>
          <w:szCs w:val="24"/>
          <w:highlight w:val="none"/>
        </w:rPr>
        <w:t>EIRELI:</w:t>
      </w:r>
      <w:r>
        <w:rPr>
          <w:sz w:val="24"/>
          <w:szCs w:val="24"/>
          <w:highlight w:val="none"/>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firstLine="709"/>
        <w:rPr>
          <w:sz w:val="24"/>
          <w:szCs w:val="24"/>
          <w:highlight w:val="none"/>
        </w:rPr>
      </w:pPr>
      <w:r>
        <w:rPr>
          <w:b/>
          <w:bCs/>
          <w:sz w:val="24"/>
          <w:szCs w:val="24"/>
          <w:highlight w:val="none"/>
        </w:rPr>
        <w:t>Sociedade empresária estrangeira:</w:t>
      </w:r>
      <w:r>
        <w:rPr>
          <w:sz w:val="24"/>
          <w:szCs w:val="24"/>
          <w:highlight w:val="none"/>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288" w:afterLines="120" w:line="312" w:lineRule="auto"/>
        <w:ind w:firstLine="709"/>
        <w:rPr>
          <w:sz w:val="24"/>
          <w:szCs w:val="24"/>
        </w:rPr>
      </w:pPr>
      <w:r>
        <w:rPr>
          <w:b/>
          <w:bCs/>
          <w:sz w:val="24"/>
          <w:szCs w:val="24"/>
          <w:highlight w:val="none"/>
        </w:rPr>
        <w:t xml:space="preserve">Sociedade simples: </w:t>
      </w:r>
      <w:r>
        <w:rPr>
          <w:sz w:val="24"/>
          <w:szCs w:val="24"/>
          <w:highlight w:val="none"/>
        </w:rPr>
        <w:t>inscrição do ato constitutivo no Registro Civil de Pessoas Jurídicas do local de sua sede, acompanhada de docu</w:t>
      </w:r>
      <w:r>
        <w:rPr>
          <w:sz w:val="24"/>
          <w:szCs w:val="24"/>
        </w:rPr>
        <w:t>mento comprobatório de seus administradores;</w:t>
      </w:r>
    </w:p>
    <w:p>
      <w:pPr>
        <w:pStyle w:val="56"/>
        <w:spacing w:after="288"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56"/>
        <w:spacing w:after="288" w:afterLines="120" w:line="312" w:lineRule="auto"/>
        <w:ind w:firstLine="709"/>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firstLine="709"/>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firstLine="709"/>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firstLine="709"/>
        <w:rPr>
          <w:sz w:val="24"/>
          <w:szCs w:val="24"/>
        </w:rPr>
      </w:pPr>
      <w:r>
        <w:rPr>
          <w:sz w:val="24"/>
          <w:szCs w:val="24"/>
        </w:rPr>
        <w:t>Prova de regularidade com o Fundo de Garantia do Tempo de Serviço (FGTS);</w:t>
      </w:r>
    </w:p>
    <w:p>
      <w:pPr>
        <w:pStyle w:val="56"/>
        <w:spacing w:after="288" w:afterLines="120" w:line="312" w:lineRule="auto"/>
        <w:ind w:firstLine="709"/>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firstLine="709"/>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firstLine="709"/>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firstLine="709"/>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firstLine="709"/>
        <w:rPr>
          <w:sz w:val="24"/>
          <w:szCs w:val="24"/>
          <w:highlight w:val="none"/>
        </w:rPr>
      </w:pPr>
      <w:r>
        <w:rPr>
          <w:sz w:val="24"/>
          <w:szCs w:val="24"/>
        </w:rPr>
        <w:t>Balanço patrimonial, demonstr</w:t>
      </w:r>
      <w:r>
        <w:rPr>
          <w:sz w:val="24"/>
          <w:szCs w:val="24"/>
          <w:highlight w:val="none"/>
        </w:rPr>
        <w:t>ação de resultado de exercício e demais demonstrações contábeis relativosao último exercício</w:t>
      </w:r>
      <w:r>
        <w:rPr>
          <w:rFonts w:hint="default"/>
          <w:sz w:val="24"/>
          <w:szCs w:val="24"/>
          <w:highlight w:val="none"/>
          <w:lang w:val="pt-BR"/>
        </w:rPr>
        <w:t xml:space="preserve"> </w:t>
      </w:r>
      <w:r>
        <w:rPr>
          <w:sz w:val="24"/>
          <w:szCs w:val="24"/>
          <w:highlight w:val="none"/>
        </w:rPr>
        <w:t>2022. (Lei nº 14.133, de 2021, art. 69, §6º).</w:t>
      </w:r>
    </w:p>
    <w:p>
      <w:pPr>
        <w:pStyle w:val="56"/>
        <w:spacing w:after="288" w:afterLines="120" w:line="312" w:lineRule="auto"/>
        <w:ind w:firstLine="709"/>
        <w:rPr>
          <w:sz w:val="24"/>
          <w:szCs w:val="24"/>
          <w:highlight w:val="none"/>
        </w:rPr>
      </w:pPr>
      <w:r>
        <w:rPr>
          <w:sz w:val="24"/>
          <w:szCs w:val="24"/>
          <w:highlight w:val="none"/>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Qualificação Técnica</w:t>
      </w:r>
    </w:p>
    <w:p>
      <w:pPr>
        <w:pStyle w:val="103"/>
        <w:spacing w:after="288" w:afterLines="120" w:line="312" w:lineRule="auto"/>
        <w:ind w:firstLine="709"/>
        <w:rPr>
          <w:i w:val="0"/>
          <w:iCs w:val="0"/>
          <w:color w:val="auto"/>
          <w:sz w:val="24"/>
          <w:szCs w:val="24"/>
        </w:rPr>
      </w:pPr>
      <w:r>
        <w:rPr>
          <w:i w:val="0"/>
          <w:iCs w:val="0"/>
          <w:color w:val="auto"/>
          <w:sz w:val="24"/>
          <w:szCs w:val="24"/>
          <w:highlight w:val="none"/>
        </w:rPr>
        <w:t>Comprovação de aptidão para o fornecimento de bens/serviços similares de complexidade tecnológica e operacional equivalente ou superior com o objeto desta contratação, ou com o item pertinente, por meio da apresentação de</w:t>
      </w:r>
      <w:r>
        <w:rPr>
          <w:i w:val="0"/>
          <w:iCs w:val="0"/>
          <w:color w:val="auto"/>
          <w:sz w:val="24"/>
          <w:szCs w:val="24"/>
        </w:rPr>
        <w:t xml:space="preserve"> certidões ou atestados, por pessoas jurídicas de direito público ou privado, ou regularmente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highlight w:val="none"/>
        </w:rPr>
      </w:pPr>
      <w:r>
        <w:rPr>
          <w:i w:val="0"/>
          <w:iCs w:val="0"/>
          <w:color w:val="auto"/>
          <w:sz w:val="24"/>
          <w:szCs w:val="24"/>
        </w:rPr>
        <w:t xml:space="preserve">O fornecedor disponibilizará todas as informações necessárias à comprovação da legitimidade dos atestados, apresentando, quando solicitado pela Administração, cópia do contrato que deu suporte à contratação, endereço atual da </w:t>
      </w:r>
      <w:r>
        <w:rPr>
          <w:i w:val="0"/>
          <w:iCs w:val="0"/>
          <w:color w:val="auto"/>
          <w:sz w:val="24"/>
          <w:szCs w:val="24"/>
          <w:highlight w:val="none"/>
        </w:rPr>
        <w:t>contratante e local em que foi executado o objeto contratado, dentre outros documentos.</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firstLine="709"/>
        <w:rPr>
          <w:b/>
          <w:bCs/>
          <w:i w:val="0"/>
          <w:iCs w:val="0"/>
          <w:color w:val="auto"/>
          <w:sz w:val="24"/>
          <w:szCs w:val="24"/>
          <w:highlight w:val="none"/>
        </w:rPr>
      </w:pPr>
      <w:r>
        <w:rPr>
          <w:i w:val="0"/>
          <w:iCs w:val="0"/>
          <w:color w:val="auto"/>
          <w:sz w:val="24"/>
          <w:szCs w:val="24"/>
          <w:highlight w:val="none"/>
        </w:rPr>
        <w:t xml:space="preserve">O custo estimado total da contratação </w:t>
      </w:r>
      <w:r>
        <w:rPr>
          <w:rFonts w:hint="default"/>
          <w:i w:val="0"/>
          <w:iCs w:val="0"/>
          <w:color w:val="auto"/>
          <w:sz w:val="24"/>
          <w:szCs w:val="24"/>
          <w:highlight w:val="none"/>
          <w:lang w:val="pt-BR"/>
        </w:rPr>
        <w:t>está na tabela encaminhada pelo departamento de Suprimentos em anexo.</w:t>
      </w:r>
    </w:p>
    <w:p>
      <w:pPr>
        <w:pStyle w:val="103"/>
        <w:spacing w:after="288" w:afterLines="120" w:line="312" w:lineRule="auto"/>
        <w:ind w:firstLine="709"/>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firstLine="709"/>
      </w:pPr>
      <w:r>
        <w:rPr>
          <w:rFonts w:eastAsia="Arial"/>
          <w:sz w:val="24"/>
          <w:szCs w:val="24"/>
        </w:rPr>
        <w:t>As despesas decorrentes da presente contratação correrão à conta de recursos específicos consignados no Orçamento Geral do Município.</w:t>
      </w:r>
      <w:bookmarkEnd w:id="0"/>
    </w:p>
    <w:p>
      <w:pPr>
        <w:pStyle w:val="56"/>
        <w:numPr>
          <w:ilvl w:val="0"/>
          <w:numId w:val="0"/>
        </w:numPr>
        <w:spacing w:after="288" w:afterLines="120" w:line="312" w:lineRule="auto"/>
        <w:rPr>
          <w:rFonts w:hint="default"/>
          <w:color w:val="auto"/>
          <w:sz w:val="24"/>
          <w:szCs w:val="24"/>
          <w:lang w:val="pt-BR"/>
        </w:rPr>
      </w:pPr>
      <w:r>
        <w:rPr>
          <w:rFonts w:hint="default"/>
          <w:color w:val="auto"/>
          <w:sz w:val="24"/>
          <w:szCs w:val="24"/>
          <w:lang w:val="pt-BR"/>
        </w:rPr>
        <w:t>Arcos/MG, 15 de Dezembro de 2023</w:t>
      </w:r>
    </w:p>
    <w:p>
      <w:pPr>
        <w:pStyle w:val="56"/>
        <w:numPr>
          <w:ilvl w:val="0"/>
          <w:numId w:val="0"/>
        </w:numPr>
        <w:spacing w:after="288" w:afterLines="120" w:line="312" w:lineRule="auto"/>
        <w:rPr>
          <w:rFonts w:hint="default"/>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12" w:lineRule="auto"/>
        <w:ind w:left="357"/>
        <w:jc w:val="center"/>
        <w:textAlignment w:val="auto"/>
        <w:rPr>
          <w:rFonts w:ascii="Arial" w:hAnsi="Arial" w:eastAsia="Arial" w:cs="Arial"/>
          <w:highlight w:val="none"/>
        </w:rPr>
      </w:pPr>
      <w:r>
        <w:rPr>
          <w:rFonts w:ascii="Arial" w:hAnsi="Arial" w:eastAsia="Arial" w:cs="Arial"/>
          <w:highlight w:val="none"/>
        </w:rPr>
        <w:t>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b/>
          <w:bCs/>
          <w:highlight w:val="none"/>
          <w:lang w:val="pt-BR"/>
        </w:rPr>
      </w:pPr>
      <w:r>
        <w:rPr>
          <w:rFonts w:hint="default" w:ascii="Arial" w:hAnsi="Arial" w:eastAsia="Arial" w:cs="Arial"/>
          <w:b/>
          <w:bCs/>
          <w:highlight w:val="none"/>
          <w:lang w:val="pt-BR"/>
        </w:rPr>
        <w:t>Alexandre Ferreira</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highlight w:val="none"/>
          <w:lang w:val="pt-BR"/>
        </w:rPr>
      </w:pPr>
      <w:r>
        <w:rPr>
          <w:rFonts w:hint="default" w:ascii="Arial" w:hAnsi="Arial" w:eastAsia="Arial" w:cs="Arial"/>
          <w:highlight w:val="none"/>
          <w:lang w:val="pt-BR"/>
        </w:rPr>
        <w:t>Secretário Municipal de Meio Ambiente e Agricultura</w:t>
      </w:r>
    </w:p>
    <w:p>
      <w:pPr>
        <w:pStyle w:val="56"/>
        <w:numPr>
          <w:ilvl w:val="0"/>
          <w:numId w:val="0"/>
        </w:numPr>
        <w:spacing w:after="288" w:afterLines="120" w:line="312" w:lineRule="auto"/>
        <w:rPr>
          <w:rFonts w:hint="default"/>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12" w:lineRule="auto"/>
        <w:ind w:left="357"/>
        <w:jc w:val="center"/>
        <w:textAlignment w:val="auto"/>
        <w:rPr>
          <w:rFonts w:ascii="Arial" w:hAnsi="Arial" w:eastAsia="Arial" w:cs="Arial"/>
          <w:highlight w:val="none"/>
        </w:rPr>
      </w:pPr>
      <w:r>
        <w:rPr>
          <w:rFonts w:ascii="Arial" w:hAnsi="Arial" w:eastAsia="Arial" w:cs="Arial"/>
          <w:highlight w:val="none"/>
        </w:rPr>
        <w:t>__________________________________</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hint="default" w:ascii="Arial" w:hAnsi="Arial" w:eastAsia="Arial" w:cs="Arial"/>
          <w:b/>
          <w:bCs/>
          <w:highlight w:val="none"/>
          <w:lang w:val="pt-BR"/>
        </w:rPr>
      </w:pPr>
      <w:r>
        <w:rPr>
          <w:rFonts w:hint="default" w:ascii="Arial" w:hAnsi="Arial" w:eastAsia="Arial" w:cs="Arial"/>
          <w:b/>
          <w:bCs/>
          <w:highlight w:val="none"/>
          <w:lang w:val="pt-BR"/>
        </w:rPr>
        <w:t>Daniel Ribeiro Mendonça</w:t>
      </w:r>
    </w:p>
    <w:p>
      <w:pPr>
        <w:keepNext w:val="0"/>
        <w:keepLines w:val="0"/>
        <w:pageBreakBefore w:val="0"/>
        <w:widowControl/>
        <w:kinsoku/>
        <w:wordWrap/>
        <w:overflowPunct/>
        <w:topLinePunct w:val="0"/>
        <w:autoSpaceDE/>
        <w:autoSpaceDN/>
        <w:bidi w:val="0"/>
        <w:adjustRightInd/>
        <w:snapToGrid/>
        <w:spacing w:line="312" w:lineRule="auto"/>
        <w:ind w:left="360"/>
        <w:jc w:val="center"/>
        <w:textAlignment w:val="auto"/>
        <w:rPr>
          <w:rFonts w:ascii="Arial" w:hAnsi="Arial" w:cs="Arial"/>
        </w:rPr>
      </w:pPr>
      <w:r>
        <w:rPr>
          <w:rFonts w:hint="default" w:ascii="Arial" w:hAnsi="Arial" w:eastAsia="Arial" w:cs="Arial"/>
          <w:highlight w:val="none"/>
          <w:lang w:val="pt-BR"/>
        </w:rPr>
        <w:t>Secretário Municipal de Obras e Serviços Públicos</w:t>
      </w: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9038D0"/>
    <w:rsid w:val="30CF78B4"/>
    <w:rsid w:val="34A1E81C"/>
    <w:rsid w:val="36EC78EE"/>
    <w:rsid w:val="36F4710C"/>
    <w:rsid w:val="377A203C"/>
    <w:rsid w:val="390C2635"/>
    <w:rsid w:val="3920A23A"/>
    <w:rsid w:val="3AE9E302"/>
    <w:rsid w:val="3B9683F7"/>
    <w:rsid w:val="3BCB3C2E"/>
    <w:rsid w:val="3CAB666A"/>
    <w:rsid w:val="40993BDC"/>
    <w:rsid w:val="411272C2"/>
    <w:rsid w:val="4284D176"/>
    <w:rsid w:val="42DE07F8"/>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1936E84"/>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B89711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65CDB-1419-435A-AC24-1D47985E0D45}">
  <ds:schemaRefs/>
</ds:datastoreItem>
</file>

<file path=customXml/itemProps2.xml><?xml version="1.0" encoding="utf-8"?>
<ds:datastoreItem xmlns:ds="http://schemas.openxmlformats.org/officeDocument/2006/customXml" ds:itemID="{DA862052-D844-467A-AC8D-623B16AA7605}">
  <ds:schemaRefs/>
</ds:datastoreItem>
</file>

<file path=customXml/itemProps3.xml><?xml version="1.0" encoding="utf-8"?>
<ds:datastoreItem xmlns:ds="http://schemas.openxmlformats.org/officeDocument/2006/customXml" ds:itemID="{0CBD3A4D-46FC-4C9D-A646-0B0B22B0418A}">
  <ds:schemaRefs/>
</ds:datastoreItem>
</file>

<file path=customXml/itemProps4.xml><?xml version="1.0" encoding="utf-8"?>
<ds:datastoreItem xmlns:ds="http://schemas.openxmlformats.org/officeDocument/2006/customXml" ds:itemID="{7C541C99-BA1C-408F-8BE9-FD886FF1D685}">
  <ds:schemaRefs/>
</ds:datastoreItem>
</file>

<file path=customXml/itemProps5.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10</TotalTime>
  <ScaleCrop>false</ScaleCrop>
  <LinksUpToDate>false</LinksUpToDate>
  <CharactersWithSpaces>30501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mandrade</cp:lastModifiedBy>
  <cp:lastPrinted>2023-12-19T20:34:14Z</cp:lastPrinted>
  <dcterms:modified xsi:type="dcterms:W3CDTF">2023-12-19T20:44:02Z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1046-11.2.0.11516</vt:lpwstr>
  </property>
  <property fmtid="{D5CDD505-2E9C-101B-9397-08002B2CF9AE}" pid="5" name="ICV">
    <vt:lpwstr>4276CAE3B84C484794CBD63AE61C0129_13</vt:lpwstr>
  </property>
</Properties>
</file>