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2" w:name="_GoBack"/>
      <w:bookmarkEnd w:id="2"/>
      <w:bookmarkStart w:id="0" w:name="_Hlk82471863"/>
      <w:r>
        <w:rPr>
          <w:rFonts w:ascii="Arial" w:hAnsi="Arial" w:eastAsia="Times New Roman" w:cs="Arial"/>
          <w:b/>
          <w:iCs/>
        </w:rPr>
        <w:t>TERMO DE REFERÊNCIA</w:t>
      </w:r>
    </w:p>
    <w:p>
      <w:pPr>
        <w:jc w:val="center"/>
        <w:rPr>
          <w:rFonts w:hint="default" w:ascii="Arial" w:hAnsi="Arial" w:eastAsia="Times New Roman" w:cs="Arial"/>
          <w:b/>
          <w:iCs/>
          <w:lang w:val="pt-BR"/>
        </w:rPr>
      </w:pPr>
      <w:r>
        <w:rPr>
          <w:rFonts w:hint="default" w:ascii="Arial" w:hAnsi="Arial" w:eastAsia="Times New Roman" w:cs="Arial"/>
          <w:b/>
          <w:iCs/>
          <w:lang w:val="pt-BR"/>
        </w:rPr>
        <w:t>N° 057/2023</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pStyle w:val="56"/>
        <w:spacing w:after="288" w:afterLines="120" w:line="312" w:lineRule="auto"/>
        <w:ind w:firstLine="709"/>
        <w:rPr>
          <w:b/>
          <w:bCs/>
          <w:sz w:val="24"/>
          <w:szCs w:val="24"/>
        </w:rPr>
      </w:pPr>
      <w:r>
        <w:rPr>
          <w:sz w:val="24"/>
          <w:szCs w:val="24"/>
          <w:highlight w:val="none"/>
        </w:rPr>
        <w:t xml:space="preserve">Aquisição de </w:t>
      </w:r>
      <w:r>
        <w:rPr>
          <w:rFonts w:hint="default"/>
          <w:sz w:val="24"/>
          <w:szCs w:val="24"/>
          <w:highlight w:val="none"/>
          <w:lang w:val="pt-BR"/>
        </w:rPr>
        <w:t>formulas infantil</w:t>
      </w:r>
      <w:r>
        <w:rPr>
          <w:b/>
          <w:bCs/>
          <w:sz w:val="24"/>
          <w:szCs w:val="24"/>
          <w:highlight w:val="none"/>
        </w:rPr>
        <w:t>,</w:t>
      </w:r>
      <w:r>
        <w:rPr>
          <w:sz w:val="24"/>
          <w:szCs w:val="24"/>
        </w:rPr>
        <w:t xml:space="preserve"> nos termos da tabela abaixo, conforme condições e exigências estabelecidas neste instrumento.</w:t>
      </w:r>
    </w:p>
    <w:tbl>
      <w:tblPr>
        <w:tblStyle w:val="8"/>
        <w:tblW w:w="9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551"/>
        <w:gridCol w:w="1417"/>
        <w:gridCol w:w="1559"/>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ITEM</w:t>
            </w:r>
          </w:p>
          <w:p>
            <w:pPr>
              <w:widowControl w:val="0"/>
              <w:suppressAutoHyphens/>
              <w:spacing w:before="120" w:after="288" w:afterLines="120" w:line="312" w:lineRule="auto"/>
              <w:jc w:val="center"/>
              <w:rPr>
                <w:rFonts w:ascii="Arial" w:hAnsi="Arial" w:eastAsia="Arial" w:cs="Arial"/>
                <w:b/>
                <w:bCs/>
                <w:color w:val="000000"/>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ESPECIFICAÇÃO</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UNIDADE DE MEDIDA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QUANT.</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UNITÁRIO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spacing w:after="0" w:line="240" w:lineRule="auto"/>
              <w:jc w:val="both"/>
              <w:rPr>
                <w:rFonts w:hint="default" w:ascii="Arial" w:hAnsi="Arial" w:eastAsia="Open Sans" w:cs="Arial"/>
                <w:color w:val="auto"/>
                <w:sz w:val="20"/>
                <w:szCs w:val="20"/>
                <w:lang w:val="pt-BR" w:eastAsia="pt-BR" w:bidi="ar-SA"/>
              </w:rPr>
            </w:pPr>
            <w:r>
              <w:rPr>
                <w:rFonts w:hint="default" w:ascii="Arial" w:hAnsi="Arial" w:cs="Arial"/>
                <w:color w:val="auto"/>
                <w:sz w:val="20"/>
                <w:szCs w:val="20"/>
              </w:rPr>
              <w:t>Fórmula infantil para alimentação de lactentes desde o nascimento até o 6º mês de vida, 100% lactose, perfil lipídico que possua oleína de palma, adicionada de ferro e selênio, com relação caseína: proteína do soro de 30-40/60-70.</w:t>
            </w:r>
            <w:r>
              <w:rPr>
                <w:rFonts w:hint="default" w:ascii="Arial" w:hAnsi="Arial" w:cs="Arial"/>
                <w:color w:val="auto"/>
                <w:sz w:val="20"/>
                <w:szCs w:val="20"/>
                <w:lang w:val="pt-BR"/>
              </w:rPr>
              <w:t xml:space="preserve"> Referencia: Nestogeno 1</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350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jc w:val="both"/>
              <w:rPr>
                <w:rFonts w:hint="default" w:ascii="Arial" w:hAnsi="Arial" w:cs="Arial"/>
                <w:color w:val="auto"/>
                <w:sz w:val="20"/>
                <w:szCs w:val="20"/>
              </w:rPr>
            </w:pPr>
            <w:r>
              <w:rPr>
                <w:rFonts w:hint="default" w:ascii="Arial" w:hAnsi="Arial" w:eastAsia="sans-serif" w:cs="Arial"/>
                <w:i w:val="0"/>
                <w:iCs w:val="0"/>
                <w:caps w:val="0"/>
                <w:color w:val="auto"/>
                <w:spacing w:val="0"/>
                <w:sz w:val="20"/>
                <w:szCs w:val="20"/>
              </w:rPr>
              <w:t>Fórmula Infantil</w:t>
            </w:r>
            <w:r>
              <w:rPr>
                <w:rFonts w:hint="default" w:ascii="Arial" w:hAnsi="Arial" w:eastAsia="sans-serif" w:cs="Arial"/>
                <w:i w:val="0"/>
                <w:iCs w:val="0"/>
                <w:caps w:val="0"/>
                <w:color w:val="auto"/>
                <w:spacing w:val="0"/>
                <w:sz w:val="20"/>
                <w:szCs w:val="20"/>
                <w:lang w:val="pt-BR"/>
              </w:rPr>
              <w:t xml:space="preserve"> </w:t>
            </w:r>
            <w:r>
              <w:rPr>
                <w:rFonts w:hint="default" w:ascii="Arial" w:hAnsi="Arial" w:eastAsia="sans-serif" w:cs="Arial"/>
                <w:i w:val="0"/>
                <w:iCs w:val="0"/>
                <w:caps w:val="0"/>
                <w:color w:val="auto"/>
                <w:spacing w:val="0"/>
                <w:sz w:val="20"/>
                <w:szCs w:val="20"/>
              </w:rPr>
              <w:t>de seguimento para Lactentes destinada a necessidades dietoterápicas específicas espessada com goma Jataí  </w:t>
            </w:r>
            <w:r>
              <w:rPr>
                <w:rFonts w:hint="default" w:ascii="Arial" w:hAnsi="Arial" w:cs="Arial"/>
                <w:color w:val="auto"/>
                <w:sz w:val="20"/>
                <w:szCs w:val="20"/>
              </w:rPr>
              <w:t>. Embalagem em pó, 800g.</w:t>
            </w:r>
          </w:p>
          <w:p>
            <w:pPr>
              <w:pStyle w:val="117"/>
              <w:jc w:val="both"/>
              <w:rPr>
                <w:rFonts w:hint="default" w:ascii="Arial" w:hAnsi="Arial" w:cs="Arial" w:eastAsiaTheme="minorHAnsi"/>
                <w:color w:val="auto"/>
                <w:sz w:val="20"/>
                <w:szCs w:val="20"/>
                <w:lang w:val="pt-BR" w:eastAsia="pt-BR" w:bidi="ar-SA"/>
              </w:rPr>
            </w:pPr>
            <w:r>
              <w:rPr>
                <w:rFonts w:hint="default" w:ascii="Arial" w:hAnsi="Arial" w:cs="Arial"/>
                <w:color w:val="auto"/>
                <w:sz w:val="20"/>
                <w:szCs w:val="20"/>
                <w:lang w:val="pt-BR"/>
              </w:rPr>
              <w:t>Referencia: Aptamil AR</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lang w:val="pt-BR"/>
              </w:rPr>
            </w:pPr>
            <w:r>
              <w:rPr>
                <w:rFonts w:hint="default" w:ascii="Arial" w:hAnsi="Arial" w:eastAsia="Arial" w:cs="Arial"/>
                <w:color w:val="000000"/>
                <w:lang w:val="pt-BR"/>
              </w:rPr>
              <w:t>100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bl>
    <w:p>
      <w:pPr>
        <w:pStyle w:val="56"/>
        <w:numPr>
          <w:ilvl w:val="0"/>
          <w:numId w:val="0"/>
        </w:numPr>
        <w:spacing w:after="288" w:afterLines="120" w:line="312" w:lineRule="auto"/>
        <w:rPr>
          <w:sz w:val="24"/>
          <w:szCs w:val="24"/>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 xml:space="preserve">contados do(a) </w:t>
      </w:r>
      <w:r>
        <w:rPr>
          <w:rFonts w:hint="default"/>
          <w:i w:val="0"/>
          <w:iCs w:val="0"/>
          <w:color w:val="auto"/>
          <w:sz w:val="24"/>
          <w:szCs w:val="24"/>
          <w:highlight w:val="none"/>
          <w:lang w:val="pt-BR"/>
        </w:rPr>
        <w:t>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w:t>
      </w:r>
      <w:r>
        <w:rPr>
          <w:sz w:val="24"/>
          <w:szCs w:val="24"/>
          <w:highlight w:val="none"/>
        </w:rPr>
        <w:t>e Termo de Referência.</w:t>
      </w:r>
    </w:p>
    <w:p>
      <w:pPr>
        <w:pStyle w:val="56"/>
        <w:spacing w:after="288" w:afterLines="120" w:line="312" w:lineRule="auto"/>
        <w:ind w:firstLine="709"/>
        <w:rPr>
          <w:sz w:val="24"/>
          <w:szCs w:val="24"/>
        </w:rPr>
      </w:pPr>
      <w:r>
        <w:rPr>
          <w:sz w:val="24"/>
          <w:szCs w:val="24"/>
          <w:highlight w:val="none"/>
        </w:rPr>
        <w:t xml:space="preserve">O objeto da contratação está previsto no Plano de Contratações Anual  de </w:t>
      </w:r>
      <w:r>
        <w:rPr>
          <w:rFonts w:hint="default"/>
          <w:sz w:val="24"/>
          <w:szCs w:val="24"/>
          <w:highlight w:val="none"/>
          <w:lang w:val="pt-BR"/>
        </w:rPr>
        <w:t>2023. Os itens a serem adquiridos enquadram- se em outros materiais, bens ou serviços.</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highlight w:val="none"/>
        </w:rPr>
      </w:pPr>
      <w:r>
        <w:rPr>
          <w:sz w:val="24"/>
          <w:szCs w:val="24"/>
          <w:highlight w:val="none"/>
        </w:rPr>
        <w:t>REQUISITOS DA CONTRATAÇÃO</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pStyle w:val="39"/>
        <w:spacing w:before="120" w:after="288" w:afterLines="120" w:line="312" w:lineRule="auto"/>
        <w:rPr>
          <w:sz w:val="24"/>
          <w:szCs w:val="24"/>
        </w:rPr>
      </w:pPr>
      <w:r>
        <w:rPr>
          <w:sz w:val="24"/>
          <w:szCs w:val="24"/>
        </w:rPr>
        <w:t>EXECUÇÃO DO OBJETO</w:t>
      </w:r>
    </w:p>
    <w:p>
      <w:pPr>
        <w:pStyle w:val="109"/>
        <w:spacing w:before="120" w:after="288" w:afterLines="120" w:line="312" w:lineRule="auto"/>
        <w:rPr>
          <w:color w:val="000000" w:themeColor="text1"/>
          <w:sz w:val="24"/>
          <w:szCs w:val="24"/>
          <w:highlight w:val="yellow"/>
          <w14:textFill>
            <w14:solidFill>
              <w14:schemeClr w14:val="tx1"/>
            </w14:solidFill>
          </w14:textFill>
        </w:rPr>
      </w:pPr>
      <w:r>
        <w:rPr>
          <w:color w:val="000000" w:themeColor="text1"/>
          <w:sz w:val="24"/>
          <w:szCs w:val="24"/>
          <w:highlight w:val="yellow"/>
          <w14:textFill>
            <w14:solidFill>
              <w14:schemeClr w14:val="tx1"/>
            </w14:solidFill>
          </w14:textFill>
        </w:rPr>
        <w:t>Condições de Entrega</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O prazo de entrega dos bens é de</w:t>
      </w:r>
      <w:r>
        <w:rPr>
          <w:rFonts w:hint="default"/>
          <w:i w:val="0"/>
          <w:iCs w:val="0"/>
          <w:color w:val="auto"/>
          <w:sz w:val="24"/>
          <w:szCs w:val="24"/>
          <w:highlight w:val="none"/>
          <w:lang w:val="pt-BR"/>
        </w:rPr>
        <w:t xml:space="preserve"> 05 (cinco) d</w:t>
      </w:r>
      <w:r>
        <w:rPr>
          <w:i w:val="0"/>
          <w:iCs w:val="0"/>
          <w:color w:val="auto"/>
          <w:sz w:val="24"/>
          <w:szCs w:val="24"/>
          <w:highlight w:val="none"/>
        </w:rPr>
        <w:t xml:space="preserve">ias, contados do(a) </w:t>
      </w:r>
      <w:r>
        <w:rPr>
          <w:rFonts w:hint="default"/>
          <w:i w:val="0"/>
          <w:iCs w:val="0"/>
          <w:color w:val="auto"/>
          <w:sz w:val="24"/>
          <w:szCs w:val="24"/>
          <w:highlight w:val="none"/>
          <w:lang w:val="pt-BR"/>
        </w:rPr>
        <w:t>a partir do recebimento da ordem de compra</w:t>
      </w:r>
      <w:r>
        <w:rPr>
          <w:i w:val="0"/>
          <w:iCs w:val="0"/>
          <w:color w:val="auto"/>
          <w:sz w:val="24"/>
          <w:szCs w:val="24"/>
          <w:highlight w:val="none"/>
        </w:rPr>
        <w:t xml:space="preserve">, </w:t>
      </w:r>
      <w:r>
        <w:rPr>
          <w:rFonts w:hint="default"/>
          <w:i w:val="0"/>
          <w:iCs w:val="0"/>
          <w:color w:val="auto"/>
          <w:sz w:val="24"/>
          <w:szCs w:val="24"/>
          <w:highlight w:val="none"/>
          <w:lang w:val="pt-BR"/>
        </w:rPr>
        <w:t>de forma parcelada</w:t>
      </w:r>
      <w:r>
        <w:rPr>
          <w:i w:val="0"/>
          <w:iCs w:val="0"/>
          <w:color w:val="auto"/>
          <w:sz w:val="24"/>
          <w:szCs w:val="24"/>
          <w:highlight w:val="none"/>
        </w:rPr>
        <w:t xml:space="preserve">. </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Quando a vida útil for inferior a 12 (doze) meses: validade minima de 80% (oitenta por cento)</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 Quando a vida útil for superior a 12 (doze) meses: validade minima de 60% (sessenta por cento)</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As parcelas serão entregues nos seguintes prazos e condições: em 1/12 avos, em quantitativos de acordo com a necessidade da contratante.</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Caso não seja possível a entrega na data assinalada, a empresa deverá comunicar as razões respectivas com pelo menos</w:t>
      </w:r>
      <w:r>
        <w:rPr>
          <w:rFonts w:hint="default"/>
          <w:i w:val="0"/>
          <w:iCs w:val="0"/>
          <w:color w:val="auto"/>
          <w:sz w:val="24"/>
          <w:szCs w:val="24"/>
          <w:highlight w:val="none"/>
          <w:lang w:val="pt-BR"/>
        </w:rPr>
        <w:t xml:space="preserve"> 02 (dois)</w:t>
      </w:r>
      <w:r>
        <w:rPr>
          <w:i w:val="0"/>
          <w:iCs w:val="0"/>
          <w:color w:val="auto"/>
          <w:sz w:val="24"/>
          <w:szCs w:val="24"/>
          <w:highlight w:val="none"/>
        </w:rPr>
        <w:t xml:space="preserve"> dias de antecedência para que qualquer pleito de prorrogação de prazo seja analisado, ressalvadas situações de caso fortuito e força maior.</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Todos os medicamentos entregues devem seguir os protocolos exigidos pelo Conselho Federal de Farmácia, tendo na embalagem a inscrição do profissional responsável e registro no Ministério da Saúde ou ANVISA. </w:t>
      </w:r>
    </w:p>
    <w:p>
      <w:pPr>
        <w:pStyle w:val="56"/>
        <w:spacing w:afterLines="120" w:line="312" w:lineRule="auto"/>
        <w:ind w:firstLine="709"/>
        <w:rPr>
          <w:sz w:val="24"/>
          <w:szCs w:val="24"/>
          <w:highlight w:val="none"/>
        </w:rPr>
      </w:pPr>
      <w:r>
        <w:rPr>
          <w:sz w:val="24"/>
          <w:szCs w:val="24"/>
          <w:highlight w:val="none"/>
        </w:rPr>
        <w:t>Os bens deverão ser entregues no seguinte endereço</w:t>
      </w:r>
      <w:r>
        <w:rPr>
          <w:rFonts w:hint="default"/>
          <w:sz w:val="24"/>
          <w:szCs w:val="24"/>
          <w:highlight w:val="none"/>
          <w:lang w:val="pt-BR"/>
        </w:rPr>
        <w:t>: Secretaria Municipal de Desenvolvimento e Integração Social  - Rua: Major Valeriano Macedo, n° 288, Bairro: Centro, Arcos/MG.</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a</w:t>
      </w:r>
      <w:r>
        <w:rPr>
          <w:sz w:val="24"/>
          <w:szCs w:val="24"/>
        </w:rPr>
        <w:t xml:space="preserve"> servidor</w:t>
      </w:r>
      <w:r>
        <w:rPr>
          <w:rFonts w:hint="default"/>
          <w:sz w:val="24"/>
          <w:szCs w:val="24"/>
          <w:lang w:val="pt-BR"/>
        </w:rPr>
        <w:t xml:space="preserve">a Sra. Soraia Caetano de Oliveira  MASP: 143457/8 </w:t>
      </w:r>
      <w:r>
        <w:rPr>
          <w:sz w:val="24"/>
          <w:szCs w:val="24"/>
        </w:rPr>
        <w:t xml:space="preserve">para atuar como fiscal do contrato e o servidor </w:t>
      </w:r>
      <w:r>
        <w:rPr>
          <w:rFonts w:hint="default"/>
          <w:sz w:val="24"/>
          <w:szCs w:val="24"/>
          <w:lang w:val="pt-BR"/>
        </w:rPr>
        <w:t>Sr. Sergio José Veloso MASP: 6601/0</w:t>
      </w:r>
      <w:r>
        <w:rPr>
          <w:sz w:val="24"/>
          <w:szCs w:val="24"/>
        </w:rPr>
        <w:t xml:space="preserve"> para atuar como gestor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288" w:afterLines="120" w:line="312" w:lineRule="auto"/>
        <w:ind w:firstLine="709"/>
        <w:rPr>
          <w:sz w:val="24"/>
          <w:szCs w:val="24"/>
          <w:lang w:eastAsia="en-US"/>
        </w:rPr>
      </w:pPr>
      <w:r>
        <w:rPr>
          <w:sz w:val="24"/>
          <w:szCs w:val="24"/>
          <w:lang w:eastAsia="en-US"/>
        </w:rPr>
        <w:t xml:space="preserve">Os itens poderão ser rejeitados, no todo ou em parte, quando em desacordo com as especificações constantes no Termo de Referênciae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rFonts w:ascii="Arial" w:hAnsi="Arial" w:cs="Arial"/>
          <w:b/>
          <w:color w:val="FF0000"/>
          <w:sz w:val="24"/>
          <w:szCs w:val="24"/>
          <w:shd w:val="clear" w:color="auto" w:fill="FFFFFF"/>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rFonts w:hint="default"/>
          <w:sz w:val="24"/>
          <w:szCs w:val="24"/>
          <w:lang w:val="en-US"/>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sob a forma ELETRÔNICA, com adoção do critério de julgamento pelo</w:t>
      </w:r>
      <w:r>
        <w:rPr>
          <w:rFonts w:eastAsia="Arial"/>
          <w:sz w:val="24"/>
          <w:szCs w:val="24"/>
          <w:highlight w:val="none"/>
        </w:rPr>
        <w:t xml:space="preserve"> </w:t>
      </w:r>
      <w:r>
        <w:rPr>
          <w:rFonts w:hint="default" w:eastAsia="Arial"/>
          <w:sz w:val="24"/>
          <w:szCs w:val="24"/>
          <w:highlight w:val="none"/>
          <w:lang w:val="pt-BR"/>
        </w:rPr>
        <w:t>m</w:t>
      </w:r>
      <w:r>
        <w:rPr>
          <w:rFonts w:hint="default" w:eastAsia="Arial"/>
          <w:color w:val="auto"/>
          <w:sz w:val="24"/>
          <w:szCs w:val="24"/>
          <w:highlight w:val="none"/>
          <w:lang w:val="pt-BR"/>
        </w:rPr>
        <w:t>enor preço por item;</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 xml:space="preserve">Sociedade empresária, sociedade limitada unipessoal – SLU ou sociedade identificada como empresa individual de responsabilidade limitada - </w:t>
      </w:r>
      <w:r>
        <w:rPr>
          <w:b/>
          <w:bCs/>
          <w:sz w:val="24"/>
          <w:szCs w:val="24"/>
          <w:highlight w:val="none"/>
        </w:rPr>
        <w:t>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pPr>
        <w:pStyle w:val="56"/>
        <w:spacing w:after="288"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Alvará sanitário (Licença Sanitária) da empresa licitante, expedido pela Vigilância Sanitária Estadual ou Municipal.</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Autorização de Funcionamento (AFE): ato de competência da Agência Nacional de Vigilância Sanitária, contendo autorização para o funcionamento de empresas ou estabelecimentos, instituições e órgãos, concedido mediante o cumprimento dos requisitos técnicos e administrativos constantes desta Resolução.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val="pt-BR" w:eastAsia="zh-CN"/>
        </w:rPr>
        <w:t xml:space="preserve">Autorização Especial (AE) : ato de competência da Agência Nacional de Vigilância Sanitária qque autoriza o exercício de atividades que envolvem insumos farmacêuticos, medicamentos, e substâncias sujeitas a controle especial, bem como o cultivo de plantas que possam originar substâncias a controle especial, mediante comprovação de requisitos técnicos e administrativos específicos, constantes desta Resolução;   </w:t>
      </w:r>
    </w:p>
    <w:p>
      <w:pPr>
        <w:pStyle w:val="103"/>
        <w:spacing w:after="288" w:afterLines="120" w:line="312" w:lineRule="auto"/>
        <w:ind w:firstLine="709"/>
        <w:rPr>
          <w:i w:val="0"/>
          <w:iCs w:val="0"/>
          <w:color w:val="auto"/>
          <w:sz w:val="24"/>
          <w:szCs w:val="24"/>
          <w:lang w:eastAsia="zh-CN" w:bidi="hi-IN"/>
        </w:rPr>
      </w:pPr>
      <w:r>
        <w:rPr>
          <w:rFonts w:hint="default"/>
          <w:i w:val="0"/>
          <w:iCs w:val="0"/>
          <w:color w:val="auto"/>
          <w:sz w:val="24"/>
          <w:szCs w:val="24"/>
          <w:lang w:eastAsia="zh-CN"/>
        </w:rPr>
        <w:t>Para Dietas: Certificado de Responsabilidade técnica nutricionista , emitido pelo seu respectivo Conselho Regional , com prazo de validade em vigor, na data de abertura dos envelopes, conforme exigência da Lei Federal nº 3.820/60 (art. 24).</w:t>
      </w:r>
    </w:p>
    <w:p>
      <w:pPr>
        <w:pStyle w:val="103"/>
        <w:spacing w:after="288"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bens/serviços</w:t>
      </w:r>
      <w:r>
        <w:rPr>
          <w:i w:val="0"/>
          <w:iCs w:val="0"/>
          <w:color w:val="auto"/>
          <w:sz w:val="24"/>
          <w:szCs w:val="24"/>
        </w:rPr>
        <w:t xml:space="preserve">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3"/>
        <w:spacing w:after="288" w:afterLines="120" w:line="312" w:lineRule="auto"/>
        <w:ind w:firstLine="709"/>
        <w:rPr>
          <w:i w:val="0"/>
          <w:iCs w:val="0"/>
          <w:color w:val="auto"/>
          <w:sz w:val="24"/>
          <w:szCs w:val="24"/>
        </w:rPr>
      </w:pPr>
      <w:r>
        <w:rPr>
          <w:i w:val="0"/>
          <w:iCs w:val="0"/>
          <w:color w:val="auto"/>
          <w:sz w:val="24"/>
          <w:szCs w:val="24"/>
        </w:rPr>
        <w:t>Os atestados de capacidade técnica poderão ser apresentados em nome da matriz ou da filial do fornecedor.</w:t>
      </w:r>
    </w:p>
    <w:p>
      <w:pPr>
        <w:pStyle w:val="103"/>
        <w:spacing w:after="288" w:afterLines="120" w:line="312" w:lineRule="auto"/>
        <w:ind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highlight w:val="none"/>
        </w:rPr>
      </w:pPr>
      <w:r>
        <w:rPr>
          <w:sz w:val="24"/>
          <w:szCs w:val="24"/>
          <w:highlight w:val="none"/>
        </w:rPr>
        <w:t>ESTIMATIVAS DO VALOR DA CONTRATAÇÃO</w:t>
      </w:r>
    </w:p>
    <w:p>
      <w:pPr>
        <w:pStyle w:val="103"/>
        <w:spacing w:after="288" w:afterLines="120" w:line="312" w:lineRule="auto"/>
        <w:ind w:firstLine="709"/>
        <w:rPr>
          <w:b/>
          <w:bCs/>
          <w:i w:val="0"/>
          <w:iCs w:val="0"/>
          <w:color w:val="auto"/>
          <w:sz w:val="24"/>
          <w:szCs w:val="24"/>
          <w:highlight w:val="none"/>
        </w:rPr>
      </w:pPr>
      <w:r>
        <w:rPr>
          <w:i w:val="0"/>
          <w:iCs w:val="0"/>
          <w:color w:val="auto"/>
          <w:sz w:val="24"/>
          <w:szCs w:val="24"/>
          <w:highlight w:val="none"/>
        </w:rPr>
        <w:t xml:space="preserve">O custo estimado total da contratação </w:t>
      </w:r>
      <w:r>
        <w:rPr>
          <w:rFonts w:hint="default"/>
          <w:i w:val="0"/>
          <w:iCs w:val="0"/>
          <w:color w:val="auto"/>
          <w:sz w:val="24"/>
          <w:szCs w:val="24"/>
          <w:highlight w:val="none"/>
          <w:lang w:val="pt-BR"/>
        </w:rPr>
        <w:t>está na tabela encaminhada pelo departamento de Suprimentos em anexo.</w:t>
      </w:r>
    </w:p>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rFonts w:hint="default"/>
          <w:color w:val="auto"/>
          <w:sz w:val="24"/>
          <w:szCs w:val="24"/>
          <w:lang w:val="pt-BR"/>
        </w:rPr>
      </w:pPr>
      <w:r>
        <w:rPr>
          <w:rFonts w:hint="default"/>
          <w:color w:val="auto"/>
          <w:sz w:val="24"/>
          <w:szCs w:val="24"/>
          <w:lang w:val="pt-BR"/>
        </w:rPr>
        <w:t>Arcos/MG, 13 de Novembro de 2023</w:t>
      </w:r>
    </w:p>
    <w:p>
      <w:pPr>
        <w:pStyle w:val="56"/>
        <w:numPr>
          <w:ilvl w:val="0"/>
          <w:numId w:val="0"/>
        </w:numPr>
        <w:spacing w:after="288" w:afterLines="120" w:line="312" w:lineRule="auto"/>
        <w:rPr>
          <w:i/>
          <w:i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12" w:lineRule="auto"/>
        <w:ind w:left="357"/>
        <w:jc w:val="center"/>
        <w:textAlignment w:val="auto"/>
        <w:rPr>
          <w:rFonts w:ascii="Arial" w:hAnsi="Arial" w:eastAsia="Arial" w:cs="Arial"/>
          <w:highlight w:val="none"/>
        </w:rPr>
      </w:pPr>
      <w:r>
        <w:rPr>
          <w:rFonts w:ascii="Arial" w:hAnsi="Arial" w:eastAsia="Arial" w:cs="Arial"/>
          <w:highlight w:val="none"/>
        </w:rPr>
        <w:t>__________________________________</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b/>
          <w:bCs/>
          <w:highlight w:val="none"/>
          <w:lang w:val="pt-BR"/>
        </w:rPr>
      </w:pPr>
      <w:r>
        <w:rPr>
          <w:rFonts w:hint="default" w:ascii="Arial" w:hAnsi="Arial" w:eastAsia="Arial" w:cs="Arial"/>
          <w:b/>
          <w:bCs/>
          <w:highlight w:val="none"/>
          <w:lang w:val="pt-BR"/>
        </w:rPr>
        <w:t xml:space="preserve">Sergio José Veloso </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highlight w:val="none"/>
          <w:lang w:val="pt-BR"/>
        </w:rPr>
      </w:pPr>
      <w:r>
        <w:rPr>
          <w:rFonts w:hint="default" w:ascii="Arial" w:hAnsi="Arial" w:eastAsia="Arial" w:cs="Arial"/>
          <w:highlight w:val="none"/>
          <w:lang w:val="pt-BR"/>
        </w:rPr>
        <w:t>Secretário Municipal de Desenvolvimento e Integração Social</w:t>
      </w:r>
    </w:p>
    <w:p>
      <w:pPr>
        <w:spacing w:before="120" w:after="288" w:afterLines="120" w:line="312" w:lineRule="auto"/>
        <w:ind w:left="360"/>
        <w:jc w:val="center"/>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Open Sans">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776876"/>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80B4215"/>
    <w:rsid w:val="6B89711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uiPriority w:val="0"/>
    <w:rPr>
      <w:rFonts w:ascii="Arial" w:hAnsi="Arial" w:cs="Arial"/>
      <w:color w:val="000000"/>
      <w:lang w:eastAsia="pt-BR"/>
    </w:rPr>
  </w:style>
  <w:style w:type="character" w:customStyle="1" w:styleId="108">
    <w:name w:val="Nível 3-R Char"/>
    <w:basedOn w:val="107"/>
    <w:link w:val="104"/>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styleId="117">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5CDB-1419-435A-AC24-1D47985E0D45}">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15</TotalTime>
  <ScaleCrop>false</ScaleCrop>
  <LinksUpToDate>false</LinksUpToDate>
  <CharactersWithSpaces>30501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dlimirio</cp:lastModifiedBy>
  <cp:lastPrinted>2023-11-13T22:39:00Z</cp:lastPrinted>
  <dcterms:modified xsi:type="dcterms:W3CDTF">2023-11-14T11:56:30Z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1046-12.2.0.13306</vt:lpwstr>
  </property>
  <property fmtid="{D5CDD505-2E9C-101B-9397-08002B2CF9AE}" pid="5" name="ICV">
    <vt:lpwstr>330DC9CB9694440BB87A55A35701A6E0_13</vt:lpwstr>
  </property>
</Properties>
</file>