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rPr>
        <w:t>TER</w:t>
      </w:r>
      <w:r>
        <w:rPr>
          <w:rFonts w:ascii="Arial" w:hAnsi="Arial" w:eastAsia="Times New Roman" w:cs="Arial"/>
          <w:b/>
          <w:iCs/>
          <w:highlight w:val="none"/>
        </w:rPr>
        <w:t>MO DE REFERÊNCIA</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176</w:t>
      </w:r>
      <w:bookmarkStart w:id="1" w:name="_GoBack"/>
      <w:bookmarkEnd w:id="1"/>
      <w:r>
        <w:rPr>
          <w:rFonts w:hint="default" w:ascii="Arial" w:hAnsi="Arial" w:eastAsia="Times New Roman" w:cs="Arial"/>
          <w:b/>
          <w:iCs/>
          <w:highlight w:val="none"/>
          <w:lang w:val="pt-BR"/>
        </w:rPr>
        <w:t>/2024</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ascii="Arial" w:hAnsi="Arial" w:eastAsia="Times New Roman" w:cs="Arial"/>
          <w:b/>
          <w:iCs/>
          <w:highlight w:val="none"/>
        </w:rPr>
      </w:pPr>
    </w:p>
    <w:p>
      <w:pPr>
        <w:pStyle w:val="39"/>
        <w:numPr>
          <w:ilvl w:val="0"/>
          <w:numId w:val="3"/>
        </w:numPr>
        <w:spacing w:before="120" w:after="288"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288" w:afterLines="120" w:line="312" w:lineRule="auto"/>
        <w:ind w:firstLine="709"/>
        <w:rPr>
          <w:b/>
          <w:bCs/>
          <w:sz w:val="24"/>
          <w:szCs w:val="24"/>
        </w:rPr>
      </w:pPr>
      <w:r>
        <w:rPr>
          <w:rFonts w:hint="default"/>
          <w:sz w:val="24"/>
          <w:szCs w:val="24"/>
          <w:highlight w:val="none"/>
          <w:lang w:val="pt-BR"/>
        </w:rPr>
        <w:t>Aquisição de trilhos ferroviários novos e usados, c</w:t>
      </w:r>
      <w:r>
        <w:rPr>
          <w:sz w:val="24"/>
          <w:szCs w:val="24"/>
        </w:rPr>
        <w:t>onforme condições e exigências estabelecidas neste instrumento.</w:t>
      </w:r>
    </w:p>
    <w:tbl>
      <w:tblPr>
        <w:tblStyle w:val="8"/>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4"/>
        <w:gridCol w:w="3715"/>
        <w:gridCol w:w="1691"/>
        <w:gridCol w:w="1147"/>
        <w:gridCol w:w="1339"/>
        <w:gridCol w:w="1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themeColor="text1"/>
                <w:sz w:val="20"/>
                <w:szCs w:val="20"/>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14:textFill>
                  <w14:solidFill>
                    <w14:schemeClr w14:val="tx1"/>
                  </w14:solidFill>
                </w14:textFill>
              </w:rPr>
              <w:t>ITEM</w:t>
            </w:r>
          </w:p>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color w:val="000000"/>
                <w:sz w:val="20"/>
                <w:szCs w:val="20"/>
              </w:rPr>
            </w:pP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lang w:val="pt-BR"/>
              </w:rPr>
            </w:pPr>
            <w:r>
              <w:rPr>
                <w:rFonts w:hint="default" w:ascii="Arial" w:hAnsi="Arial" w:eastAsia="Arial" w:cs="Arial"/>
                <w:b/>
                <w:bCs/>
                <w:color w:val="000000" w:themeColor="text1"/>
                <w:sz w:val="20"/>
                <w:szCs w:val="20"/>
                <w:lang w:val="pt-BR"/>
                <w14:textFill>
                  <w14:solidFill>
                    <w14:schemeClr w14:val="tx1"/>
                  </w14:solidFill>
                </w14:textFill>
              </w:rPr>
              <w:t>DESCRI</w:t>
            </w:r>
            <w:r>
              <w:rPr>
                <w:rFonts w:hint="default" w:ascii="Arial" w:hAnsi="Arial" w:eastAsia="Arial" w:cs="Arial"/>
                <w:b/>
                <w:bCs/>
                <w:color w:val="000000" w:themeColor="text1"/>
                <w:sz w:val="20"/>
                <w:szCs w:val="20"/>
                <w14:textFill>
                  <w14:solidFill>
                    <w14:schemeClr w14:val="tx1"/>
                  </w14:solidFill>
                </w14:textFill>
              </w:rPr>
              <w:t>ÇÃO</w:t>
            </w:r>
            <w:r>
              <w:rPr>
                <w:rFonts w:hint="default" w:ascii="Arial" w:hAnsi="Arial" w:eastAsia="Arial" w:cs="Arial"/>
                <w:b/>
                <w:bCs/>
                <w:color w:val="000000" w:themeColor="text1"/>
                <w:sz w:val="20"/>
                <w:szCs w:val="20"/>
                <w:lang w:val="pt-BR"/>
                <w14:textFill>
                  <w14:solidFill>
                    <w14:schemeClr w14:val="tx1"/>
                  </w14:solidFill>
                </w14:textFill>
              </w:rPr>
              <w:t xml:space="preserve"> DO PRODUTO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000000"/>
                <w:sz w:val="20"/>
                <w:szCs w:val="20"/>
              </w:rPr>
            </w:pPr>
            <w:r>
              <w:rPr>
                <w:rFonts w:hint="default" w:ascii="Arial" w:hAnsi="Arial" w:eastAsia="Arial" w:cs="Arial"/>
                <w:b/>
                <w:bCs/>
                <w:color w:val="000000" w:themeColor="text1"/>
                <w:sz w:val="20"/>
                <w:szCs w:val="20"/>
                <w14:textFill>
                  <w14:solidFill>
                    <w14:schemeClr w14:val="tx1"/>
                  </w14:solidFill>
                </w14:textFill>
              </w:rPr>
              <w:t>UNIDADE DE MEDIDA</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sz w:val="20"/>
                <w:szCs w:val="20"/>
              </w:rPr>
            </w:pPr>
            <w:r>
              <w:rPr>
                <w:rFonts w:hint="default" w:ascii="Arial" w:hAnsi="Arial" w:eastAsia="Arial" w:cs="Arial"/>
                <w:b/>
                <w:bCs/>
                <w:sz w:val="20"/>
                <w:szCs w:val="20"/>
              </w:rPr>
              <w:t>QUANT.</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sz w:val="20"/>
                <w:szCs w:val="20"/>
              </w:rPr>
            </w:pPr>
            <w:r>
              <w:rPr>
                <w:rFonts w:hint="default" w:ascii="Arial" w:hAnsi="Arial" w:eastAsia="Arial" w:cs="Arial"/>
                <w:b/>
                <w:bCs/>
                <w:sz w:val="20"/>
                <w:szCs w:val="20"/>
              </w:rPr>
              <w:t>VALOR UNITÁRIO</w:t>
            </w: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240" w:lineRule="auto"/>
              <w:jc w:val="center"/>
              <w:textAlignment w:val="auto"/>
              <w:rPr>
                <w:rFonts w:hint="default" w:ascii="Arial" w:hAnsi="Arial" w:eastAsia="Arial" w:cs="Arial"/>
                <w:b/>
                <w:bCs/>
                <w:sz w:val="20"/>
                <w:szCs w:val="20"/>
              </w:rPr>
            </w:pPr>
            <w:r>
              <w:rPr>
                <w:rFonts w:hint="default" w:ascii="Arial" w:hAnsi="Arial" w:eastAsia="Arial" w:cs="Arial"/>
                <w:b/>
                <w:bCs/>
                <w:sz w:val="20"/>
                <w:szCs w:val="20"/>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baseline"/>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37</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6</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NOVO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2</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baseline"/>
              <w:rPr>
                <w:rFonts w:hint="default" w:ascii="Arial" w:hAnsi="Arial" w:eastAsia="Open Sans"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37</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12</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NOVO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3</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baseline"/>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37</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6</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USADO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en-US" w:eastAsia="pt-BR" w:bidi="ar-SA"/>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Arial" w:cs="Arial"/>
                <w:color w:val="auto"/>
                <w:sz w:val="20"/>
                <w:szCs w:val="2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4</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baseline"/>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37</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 xml:space="preserve">12 </w:t>
            </w:r>
            <w:r>
              <w:rPr>
                <w:rFonts w:hint="default" w:ascii="Arial" w:hAnsi="Arial" w:eastAsia="SimSun" w:cs="Arial"/>
                <w:b w:val="0"/>
                <w:bCs/>
                <w:kern w:val="0"/>
                <w:sz w:val="20"/>
                <w:szCs w:val="20"/>
              </w:rPr>
              <w:t>METROS</w:t>
            </w:r>
            <w:r>
              <w:rPr>
                <w:rFonts w:hint="default" w:ascii="Arial" w:hAnsi="Arial" w:eastAsia="SimSun" w:cs="Arial"/>
                <w:b w:val="0"/>
                <w:bCs/>
                <w:kern w:val="0"/>
                <w:sz w:val="20"/>
                <w:szCs w:val="20"/>
                <w:lang w:val="pt-BR"/>
              </w:rPr>
              <w:t xml:space="preserve"> - USADO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5</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baseline"/>
              <w:rPr>
                <w:rFonts w:hint="default" w:ascii="Arial" w:hAnsi="Arial" w:cs="Arial"/>
                <w:color w:val="auto"/>
                <w:sz w:val="20"/>
                <w:szCs w:val="20"/>
                <w:lang w:val="pt-BR" w:eastAsia="en-US"/>
              </w:rPr>
            </w:pPr>
            <w:r>
              <w:rPr>
                <w:rFonts w:hint="default" w:ascii="Arial" w:hAnsi="Arial" w:eastAsia="SimSun" w:cs="Arial"/>
                <w:b w:val="0"/>
                <w:bCs/>
                <w:kern w:val="0"/>
                <w:sz w:val="20"/>
                <w:szCs w:val="20"/>
              </w:rPr>
              <w:t xml:space="preserve">TRILHO TR45, BARRA </w:t>
            </w:r>
            <w:r>
              <w:rPr>
                <w:rFonts w:hint="default" w:ascii="Arial" w:hAnsi="Arial" w:eastAsia="SimSun" w:cs="Arial"/>
                <w:b w:val="0"/>
                <w:bCs/>
                <w:kern w:val="0"/>
                <w:sz w:val="20"/>
                <w:szCs w:val="20"/>
                <w:lang w:val="pt-BR"/>
              </w:rPr>
              <w:t>6</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NOVO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6</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baseline"/>
              <w:rPr>
                <w:rFonts w:hint="default" w:ascii="Arial" w:hAnsi="Arial" w:cs="Arial"/>
                <w:color w:val="auto"/>
                <w:sz w:val="20"/>
                <w:szCs w:val="20"/>
                <w:lang w:val="pt-BR" w:eastAsia="en-US"/>
              </w:rPr>
            </w:pPr>
            <w:r>
              <w:rPr>
                <w:rFonts w:hint="default" w:ascii="Arial" w:hAnsi="Arial" w:eastAsia="SimSun" w:cs="Arial"/>
                <w:b w:val="0"/>
                <w:bCs/>
                <w:kern w:val="0"/>
                <w:sz w:val="20"/>
                <w:szCs w:val="20"/>
              </w:rPr>
              <w:t xml:space="preserve">TRILHO TR45, BARRA </w:t>
            </w:r>
            <w:r>
              <w:rPr>
                <w:rFonts w:hint="default" w:ascii="Arial" w:hAnsi="Arial" w:eastAsia="SimSun" w:cs="Arial"/>
                <w:b w:val="0"/>
                <w:bCs/>
                <w:kern w:val="0"/>
                <w:sz w:val="20"/>
                <w:szCs w:val="20"/>
                <w:lang w:val="pt-BR"/>
              </w:rPr>
              <w:t>12</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NOVO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7</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default" w:ascii="Arial" w:hAnsi="Arial" w:cs="Arial"/>
                <w:color w:val="auto"/>
                <w:sz w:val="20"/>
                <w:szCs w:val="20"/>
                <w:lang w:val="pt-BR" w:eastAsia="en-US"/>
              </w:rPr>
            </w:pPr>
            <w:r>
              <w:rPr>
                <w:rFonts w:hint="default" w:ascii="Arial" w:hAnsi="Arial" w:eastAsia="SimSun" w:cs="Arial"/>
                <w:b w:val="0"/>
                <w:bCs/>
                <w:kern w:val="0"/>
                <w:sz w:val="20"/>
                <w:szCs w:val="20"/>
              </w:rPr>
              <w:t xml:space="preserve">TRILHO TR45, BARRA </w:t>
            </w:r>
            <w:r>
              <w:rPr>
                <w:rFonts w:hint="default" w:ascii="Arial" w:hAnsi="Arial" w:eastAsia="SimSun" w:cs="Arial"/>
                <w:b w:val="0"/>
                <w:bCs/>
                <w:kern w:val="0"/>
                <w:sz w:val="20"/>
                <w:szCs w:val="20"/>
                <w:lang w:val="pt-BR"/>
              </w:rPr>
              <w:t>6</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USADO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8</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default" w:ascii="Arial" w:hAnsi="Arial" w:cs="Arial"/>
                <w:color w:val="auto"/>
                <w:sz w:val="20"/>
                <w:szCs w:val="20"/>
                <w:lang w:val="pt-BR" w:eastAsia="en-US"/>
              </w:rPr>
            </w:pPr>
            <w:r>
              <w:rPr>
                <w:rFonts w:hint="default" w:ascii="Arial" w:hAnsi="Arial" w:eastAsia="SimSun" w:cs="Arial"/>
                <w:b w:val="0"/>
                <w:bCs/>
                <w:kern w:val="0"/>
                <w:sz w:val="20"/>
                <w:szCs w:val="20"/>
              </w:rPr>
              <w:t xml:space="preserve">TRILHO TR45, BARRA </w:t>
            </w:r>
            <w:r>
              <w:rPr>
                <w:rFonts w:hint="default" w:ascii="Arial" w:hAnsi="Arial" w:eastAsia="SimSun" w:cs="Arial"/>
                <w:b w:val="0"/>
                <w:bCs/>
                <w:kern w:val="0"/>
                <w:sz w:val="20"/>
                <w:szCs w:val="20"/>
                <w:lang w:val="pt-BR"/>
              </w:rPr>
              <w:t>12</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USADO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9</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57</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6</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NOVO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10</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57</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12</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NOVO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11</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57</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6</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USADO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12</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57</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12</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USADO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13</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68</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 xml:space="preserve">6 </w:t>
            </w:r>
            <w:r>
              <w:rPr>
                <w:rFonts w:hint="default" w:ascii="Arial" w:hAnsi="Arial" w:eastAsia="SimSun" w:cs="Arial"/>
                <w:b w:val="0"/>
                <w:bCs/>
                <w:kern w:val="0"/>
                <w:sz w:val="20"/>
                <w:szCs w:val="20"/>
              </w:rPr>
              <w:t>METROS</w:t>
            </w:r>
            <w:r>
              <w:rPr>
                <w:rFonts w:hint="default" w:ascii="Arial" w:hAnsi="Arial" w:eastAsia="SimSun" w:cs="Arial"/>
                <w:b w:val="0"/>
                <w:bCs/>
                <w:kern w:val="0"/>
                <w:sz w:val="20"/>
                <w:szCs w:val="20"/>
                <w:lang w:val="pt-BR"/>
              </w:rPr>
              <w:t xml:space="preserve"> - NOVO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14</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68</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12</w:t>
            </w:r>
            <w:r>
              <w:rPr>
                <w:rFonts w:hint="default" w:ascii="Arial" w:hAnsi="Arial" w:eastAsia="SimSun" w:cs="Arial"/>
                <w:b w:val="0"/>
                <w:bCs/>
                <w:kern w:val="0"/>
                <w:sz w:val="20"/>
                <w:szCs w:val="20"/>
              </w:rPr>
              <w:t xml:space="preserve"> METROS</w:t>
            </w:r>
            <w:r>
              <w:rPr>
                <w:rFonts w:hint="default" w:ascii="Arial" w:hAnsi="Arial" w:eastAsia="SimSun" w:cs="Arial"/>
                <w:b w:val="0"/>
                <w:bCs/>
                <w:kern w:val="0"/>
                <w:sz w:val="20"/>
                <w:szCs w:val="20"/>
                <w:lang w:val="pt-BR"/>
              </w:rPr>
              <w:t xml:space="preserve"> - NOVO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15</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68</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 xml:space="preserve">6 </w:t>
            </w:r>
            <w:r>
              <w:rPr>
                <w:rFonts w:hint="default" w:ascii="Arial" w:hAnsi="Arial" w:eastAsia="SimSun" w:cs="Arial"/>
                <w:b w:val="0"/>
                <w:bCs/>
                <w:kern w:val="0"/>
                <w:sz w:val="20"/>
                <w:szCs w:val="20"/>
              </w:rPr>
              <w:t>METROS</w:t>
            </w:r>
            <w:r>
              <w:rPr>
                <w:rFonts w:hint="default" w:ascii="Arial" w:hAnsi="Arial" w:eastAsia="SimSun" w:cs="Arial"/>
                <w:b w:val="0"/>
                <w:bCs/>
                <w:kern w:val="0"/>
                <w:sz w:val="20"/>
                <w:szCs w:val="20"/>
                <w:lang w:val="pt-BR"/>
              </w:rPr>
              <w:t xml:space="preserve"> - USADO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240" w:lineRule="auto"/>
              <w:jc w:val="center"/>
              <w:textAlignment w:val="auto"/>
              <w:rPr>
                <w:rFonts w:hint="default" w:ascii="Arial" w:hAnsi="Arial" w:eastAsia="Arial" w:cs="Arial"/>
                <w:b/>
                <w:bCs/>
                <w:color w:val="auto"/>
                <w:sz w:val="20"/>
                <w:szCs w:val="20"/>
                <w:lang w:val="pt-BR"/>
              </w:rPr>
            </w:pPr>
            <w:r>
              <w:rPr>
                <w:rFonts w:hint="default" w:ascii="Arial" w:hAnsi="Arial" w:eastAsia="Arial" w:cs="Arial"/>
                <w:b/>
                <w:bCs/>
                <w:color w:val="auto"/>
                <w:sz w:val="20"/>
                <w:szCs w:val="20"/>
                <w:lang w:val="pt-BR"/>
              </w:rPr>
              <w:t>16</w:t>
            </w:r>
          </w:p>
        </w:tc>
        <w:tc>
          <w:tcPr>
            <w:tcW w:w="37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360" w:lineRule="auto"/>
              <w:jc w:val="both"/>
              <w:rPr>
                <w:rFonts w:hint="default" w:ascii="Arial" w:hAnsi="Arial" w:cs="Arial"/>
                <w:color w:val="auto"/>
                <w:sz w:val="20"/>
                <w:szCs w:val="20"/>
                <w:lang w:val="pt-BR" w:eastAsia="en-US"/>
              </w:rPr>
            </w:pPr>
            <w:r>
              <w:rPr>
                <w:rFonts w:hint="default" w:ascii="Arial" w:hAnsi="Arial" w:eastAsia="SimSun" w:cs="Arial"/>
                <w:b w:val="0"/>
                <w:bCs/>
                <w:kern w:val="0"/>
                <w:sz w:val="20"/>
                <w:szCs w:val="20"/>
              </w:rPr>
              <w:t>TRILHO TR</w:t>
            </w:r>
            <w:r>
              <w:rPr>
                <w:rFonts w:hint="default" w:ascii="Arial" w:hAnsi="Arial" w:eastAsia="SimSun" w:cs="Arial"/>
                <w:b w:val="0"/>
                <w:bCs/>
                <w:kern w:val="0"/>
                <w:sz w:val="20"/>
                <w:szCs w:val="20"/>
                <w:lang w:val="pt-BR"/>
              </w:rPr>
              <w:t>68</w:t>
            </w:r>
            <w:r>
              <w:rPr>
                <w:rFonts w:hint="default" w:ascii="Arial" w:hAnsi="Arial" w:eastAsia="SimSun" w:cs="Arial"/>
                <w:b w:val="0"/>
                <w:bCs/>
                <w:kern w:val="0"/>
                <w:sz w:val="20"/>
                <w:szCs w:val="20"/>
              </w:rPr>
              <w:t xml:space="preserve">, BARRA </w:t>
            </w:r>
            <w:r>
              <w:rPr>
                <w:rFonts w:hint="default" w:ascii="Arial" w:hAnsi="Arial" w:eastAsia="SimSun" w:cs="Arial"/>
                <w:b w:val="0"/>
                <w:bCs/>
                <w:kern w:val="0"/>
                <w:sz w:val="20"/>
                <w:szCs w:val="20"/>
                <w:lang w:val="pt-BR"/>
              </w:rPr>
              <w:t xml:space="preserve">12 </w:t>
            </w:r>
            <w:r>
              <w:rPr>
                <w:rFonts w:hint="default" w:ascii="Arial" w:hAnsi="Arial" w:eastAsia="SimSun" w:cs="Arial"/>
                <w:b w:val="0"/>
                <w:bCs/>
                <w:kern w:val="0"/>
                <w:sz w:val="20"/>
                <w:szCs w:val="20"/>
              </w:rPr>
              <w:t>METROS</w:t>
            </w:r>
            <w:r>
              <w:rPr>
                <w:rFonts w:hint="default" w:ascii="Arial" w:hAnsi="Arial" w:eastAsia="SimSun" w:cs="Arial"/>
                <w:b w:val="0"/>
                <w:bCs/>
                <w:kern w:val="0"/>
                <w:sz w:val="20"/>
                <w:szCs w:val="20"/>
                <w:lang w:val="pt-BR"/>
              </w:rPr>
              <w:t xml:space="preserve"> - USADO</w:t>
            </w:r>
          </w:p>
        </w:tc>
        <w:tc>
          <w:tcPr>
            <w:tcW w:w="16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uto"/>
              <w:jc w:val="center"/>
              <w:textAlignment w:val="auto"/>
              <w:rPr>
                <w:rFonts w:hint="default" w:ascii="Arial" w:hAnsi="Arial" w:eastAsia="Arial" w:cs="Arial"/>
                <w:color w:val="auto"/>
                <w:sz w:val="20"/>
                <w:szCs w:val="20"/>
                <w:lang w:val="pt-BR"/>
              </w:rPr>
            </w:pPr>
            <w:r>
              <w:rPr>
                <w:rFonts w:hint="default" w:ascii="Arial" w:hAnsi="Arial" w:eastAsia="Open Sans" w:cs="Arial"/>
                <w:b w:val="0"/>
                <w:bCs w:val="0"/>
                <w:color w:val="000000"/>
                <w:sz w:val="20"/>
                <w:szCs w:val="20"/>
                <w:shd w:val="clear" w:fill="auto"/>
                <w:lang w:val="pt-BR"/>
              </w:rPr>
              <w:t>Unidade</w:t>
            </w:r>
          </w:p>
        </w:tc>
        <w:tc>
          <w:tcPr>
            <w:tcW w:w="114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AutoHyphens/>
              <w:kinsoku/>
              <w:wordWrap/>
              <w:overflowPunct/>
              <w:topLinePunct w:val="0"/>
              <w:autoSpaceDE/>
              <w:autoSpaceDN/>
              <w:bidi w:val="0"/>
              <w:adjustRightInd/>
              <w:snapToGrid/>
              <w:spacing w:before="0" w:after="0" w:line="360" w:lineRule="auto"/>
              <w:jc w:val="center"/>
              <w:textAlignment w:val="baseline"/>
              <w:rPr>
                <w:rFonts w:hint="default" w:ascii="Arial" w:hAnsi="Arial" w:cs="Arial" w:eastAsiaTheme="minorHAnsi"/>
                <w:color w:val="0C0E12"/>
                <w:w w:val="105"/>
                <w:sz w:val="20"/>
                <w:szCs w:val="20"/>
                <w:lang w:val="en-US" w:eastAsia="pt-BR" w:bidi="ar-SA"/>
              </w:rPr>
            </w:pPr>
            <w:r>
              <w:rPr>
                <w:rFonts w:hint="default" w:ascii="Arial" w:hAnsi="Arial" w:cs="Arial" w:eastAsiaTheme="minorEastAsia"/>
                <w:b w:val="0"/>
                <w:bCs w:val="0"/>
                <w:color w:val="000000"/>
                <w:kern w:val="0"/>
                <w:sz w:val="20"/>
                <w:szCs w:val="20"/>
                <w:shd w:val="clear" w:fill="auto"/>
                <w:lang w:val="pt-BR" w:eastAsia="pt-BR" w:bidi="ar-SA"/>
              </w:rPr>
              <w:t>100</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en-US" w:eastAsia="zh-CN" w:bidi="ar"/>
              </w:rPr>
            </w:pPr>
          </w:p>
        </w:tc>
        <w:tc>
          <w:tcPr>
            <w:tcW w:w="11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top"/>
              <w:rPr>
                <w:rFonts w:hint="default" w:ascii="Arial" w:hAnsi="Arial" w:eastAsia="SimSun" w:cs="Arial"/>
                <w:i w:val="0"/>
                <w:iCs w:val="0"/>
                <w:color w:val="auto"/>
                <w:kern w:val="0"/>
                <w:sz w:val="20"/>
                <w:szCs w:val="20"/>
                <w:u w:val="none"/>
                <w:lang w:val="pt-BR" w:eastAsia="zh-CN" w:bidi="ar"/>
              </w:rPr>
            </w:pPr>
          </w:p>
        </w:tc>
      </w:tr>
    </w:tbl>
    <w:p>
      <w:pPr>
        <w:spacing w:after="120" w:line="360" w:lineRule="auto"/>
        <w:jc w:val="center"/>
        <w:rPr>
          <w:rFonts w:hint="default" w:ascii="Arial" w:hAnsi="Arial" w:eastAsia="Arial Unicode MS" w:cs="Arial"/>
          <w:b/>
          <w:sz w:val="24"/>
          <w:szCs w:val="24"/>
          <w:lang w:val="pt-BR"/>
        </w:rPr>
      </w:pPr>
    </w:p>
    <w:p>
      <w:pPr>
        <w:spacing w:after="120" w:line="360" w:lineRule="auto"/>
        <w:jc w:val="center"/>
        <w:rPr>
          <w:rFonts w:hint="default" w:ascii="Arial" w:hAnsi="Arial" w:eastAsia="Arial Unicode MS" w:cs="Arial"/>
          <w:b/>
          <w:sz w:val="24"/>
          <w:szCs w:val="24"/>
          <w:lang w:val="pt-BR"/>
        </w:rPr>
      </w:pPr>
      <w:r>
        <w:rPr>
          <w:rFonts w:hint="default" w:ascii="Arial" w:hAnsi="Arial" w:eastAsia="Arial Unicode MS" w:cs="Arial"/>
          <w:b/>
          <w:sz w:val="24"/>
          <w:szCs w:val="24"/>
          <w:lang w:val="pt-BR"/>
        </w:rPr>
        <w:t>TRILHO TR 37</w:t>
      </w:r>
    </w:p>
    <w:p>
      <w:pPr>
        <w:spacing w:after="120" w:line="360" w:lineRule="auto"/>
        <w:jc w:val="center"/>
        <w:rPr>
          <w:rFonts w:hint="default" w:ascii="Arial" w:hAnsi="Arial" w:eastAsia="Arial Unicode MS" w:cs="Arial"/>
          <w:b/>
          <w:sz w:val="24"/>
          <w:szCs w:val="24"/>
          <w:lang w:val="pt-BR"/>
        </w:rPr>
      </w:pPr>
      <w:r>
        <w:drawing>
          <wp:inline distT="0" distB="0" distL="114300" distR="114300">
            <wp:extent cx="5394960" cy="5880735"/>
            <wp:effectExtent l="0" t="0" r="15240" b="5715"/>
            <wp:docPr id="1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8"/>
                    <pic:cNvPicPr>
                      <a:picLocks noChangeAspect="1"/>
                    </pic:cNvPicPr>
                  </pic:nvPicPr>
                  <pic:blipFill>
                    <a:blip r:embed="rId5"/>
                    <a:stretch>
                      <a:fillRect/>
                    </a:stretch>
                  </pic:blipFill>
                  <pic:spPr>
                    <a:xfrm>
                      <a:off x="0" y="0"/>
                      <a:ext cx="5394960" cy="588073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Unicode MS" w:cs="Arial"/>
          <w:b w:val="0"/>
          <w:bCs/>
          <w:sz w:val="24"/>
          <w:szCs w:val="24"/>
          <w:lang w:val="pt-BR"/>
        </w:rPr>
      </w:pP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Arial" w:hAnsi="Arial" w:eastAsia="Arial Unicode MS" w:cs="Arial"/>
          <w:b w:val="0"/>
          <w:bCs/>
          <w:sz w:val="24"/>
          <w:szCs w:val="24"/>
          <w:lang w:val="pt-BR"/>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eastAsia="Arial Unicode MS" w:cs="Arial"/>
          <w:b w:val="0"/>
          <w:bCs/>
          <w:sz w:val="24"/>
          <w:szCs w:val="24"/>
          <w:lang w:val="pt-BR"/>
        </w:rPr>
      </w:pPr>
      <w:r>
        <w:rPr>
          <w:rFonts w:hint="default" w:ascii="Arial" w:hAnsi="Arial" w:eastAsia="Arial Unicode MS" w:cs="Arial"/>
          <w:b w:val="0"/>
          <w:bCs/>
          <w:sz w:val="24"/>
          <w:szCs w:val="24"/>
          <w:lang w:val="pt-BR"/>
        </w:rPr>
        <w:t>Legenda simplificada</w:t>
      </w:r>
      <w:r>
        <w:rPr>
          <w:rFonts w:hint="default" w:ascii="Arial" w:hAnsi="Arial" w:eastAsia="Arial Unicode MS" w:cs="Arial"/>
          <w:b w:val="0"/>
          <w:bCs/>
          <w:sz w:val="24"/>
          <w:szCs w:val="24"/>
          <w:lang w:val="pt-BR"/>
        </w:rPr>
        <w:br w:type="textWrapping"/>
      </w:r>
      <w:r>
        <w:rPr>
          <w:rFonts w:hint="default" w:ascii="Arial" w:hAnsi="Arial" w:eastAsia="Arial Unicode MS" w:cs="Arial"/>
          <w:b w:val="0"/>
          <w:bCs/>
          <w:sz w:val="24"/>
          <w:szCs w:val="24"/>
          <w:lang w:val="pt-BR"/>
        </w:rPr>
        <w:t>A (altura): 122.24</w:t>
      </w:r>
      <w:r>
        <w:rPr>
          <w:rFonts w:hint="default" w:ascii="Arial" w:hAnsi="Arial" w:eastAsia="Arial Unicode MS" w:cs="Arial"/>
          <w:b w:val="0"/>
          <w:bCs/>
          <w:sz w:val="24"/>
          <w:szCs w:val="24"/>
          <w:lang w:val="pt-BR"/>
        </w:rPr>
        <w:br w:type="textWrapping"/>
      </w:r>
      <w:r>
        <w:rPr>
          <w:rFonts w:hint="default" w:ascii="Arial" w:hAnsi="Arial" w:eastAsia="Arial Unicode MS" w:cs="Arial"/>
          <w:b w:val="0"/>
          <w:bCs/>
          <w:sz w:val="24"/>
          <w:szCs w:val="24"/>
          <w:lang w:val="pt-BR"/>
        </w:rPr>
        <w:t>B (base): 122.24</w:t>
      </w:r>
      <w:r>
        <w:rPr>
          <w:rFonts w:hint="default" w:ascii="Arial" w:hAnsi="Arial" w:eastAsia="Arial Unicode MS" w:cs="Arial"/>
          <w:b w:val="0"/>
          <w:bCs/>
          <w:sz w:val="24"/>
          <w:szCs w:val="24"/>
          <w:lang w:val="pt-BR"/>
        </w:rPr>
        <w:br w:type="textWrapping"/>
      </w:r>
      <w:r>
        <w:rPr>
          <w:rFonts w:hint="default" w:ascii="Arial" w:hAnsi="Arial" w:eastAsia="Arial Unicode MS" w:cs="Arial"/>
          <w:b w:val="0"/>
          <w:bCs/>
          <w:sz w:val="24"/>
          <w:szCs w:val="24"/>
          <w:lang w:val="pt-BR"/>
        </w:rPr>
        <w:t>C (boleto): 62.71</w:t>
      </w:r>
      <w:r>
        <w:rPr>
          <w:rFonts w:hint="default" w:ascii="Arial" w:hAnsi="Arial" w:eastAsia="Arial Unicode MS" w:cs="Arial"/>
          <w:b w:val="0"/>
          <w:bCs/>
          <w:sz w:val="24"/>
          <w:szCs w:val="24"/>
          <w:lang w:val="pt-BR"/>
        </w:rPr>
        <w:br w:type="textWrapping"/>
      </w:r>
      <w:r>
        <w:rPr>
          <w:rFonts w:hint="default" w:ascii="Arial" w:hAnsi="Arial" w:eastAsia="Arial Unicode MS" w:cs="Arial"/>
          <w:b w:val="0"/>
          <w:bCs/>
          <w:sz w:val="24"/>
          <w:szCs w:val="24"/>
          <w:lang w:val="pt-BR"/>
        </w:rPr>
        <w:t>D (alma): 13.4</w:t>
      </w:r>
    </w:p>
    <w:p>
      <w:pPr>
        <w:spacing w:after="120" w:line="360" w:lineRule="auto"/>
        <w:jc w:val="both"/>
        <w:rPr>
          <w:rFonts w:hint="default" w:ascii="Arial" w:hAnsi="Arial" w:eastAsia="Arial Unicode MS" w:cs="Arial"/>
          <w:b/>
          <w:sz w:val="24"/>
          <w:szCs w:val="24"/>
          <w:lang w:val="pt-BR"/>
        </w:rPr>
      </w:pPr>
    </w:p>
    <w:p>
      <w:pPr>
        <w:spacing w:after="120" w:line="360" w:lineRule="auto"/>
        <w:jc w:val="center"/>
        <w:rPr>
          <w:rFonts w:hint="default" w:ascii="Arial" w:hAnsi="Arial" w:eastAsia="Arial Unicode MS" w:cs="Arial"/>
          <w:b/>
          <w:sz w:val="24"/>
          <w:szCs w:val="24"/>
          <w:lang w:val="pt-BR"/>
        </w:rPr>
      </w:pPr>
      <w:r>
        <w:rPr>
          <w:rFonts w:hint="default" w:ascii="Arial" w:hAnsi="Arial" w:eastAsia="Arial Unicode MS" w:cs="Arial"/>
          <w:b/>
          <w:sz w:val="24"/>
          <w:szCs w:val="24"/>
          <w:lang w:val="pt-BR"/>
        </w:rPr>
        <w:t>TRILHO TR 45</w:t>
      </w:r>
    </w:p>
    <w:p>
      <w:pPr>
        <w:spacing w:after="0" w:line="360" w:lineRule="auto"/>
        <w:jc w:val="center"/>
      </w:pPr>
      <w:r>
        <w:drawing>
          <wp:inline distT="0" distB="0" distL="114300" distR="114300">
            <wp:extent cx="5394960" cy="6177280"/>
            <wp:effectExtent l="0" t="0" r="15240" b="13970"/>
            <wp:docPr id="2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9"/>
                    <pic:cNvPicPr>
                      <a:picLocks noChangeAspect="1"/>
                    </pic:cNvPicPr>
                  </pic:nvPicPr>
                  <pic:blipFill>
                    <a:blip r:embed="rId6"/>
                    <a:stretch>
                      <a:fillRect/>
                    </a:stretch>
                  </pic:blipFill>
                  <pic:spPr>
                    <a:xfrm>
                      <a:off x="0" y="0"/>
                      <a:ext cx="5394960" cy="6177280"/>
                    </a:xfrm>
                    <a:prstGeom prst="rect">
                      <a:avLst/>
                    </a:prstGeom>
                    <a:noFill/>
                    <a:ln>
                      <a:noFill/>
                    </a:ln>
                  </pic:spPr>
                </pic:pic>
              </a:graphicData>
            </a:graphic>
          </wp:inline>
        </w:drawing>
      </w:r>
    </w:p>
    <w:p>
      <w:pPr>
        <w:spacing w:after="0" w:line="360" w:lineRule="auto"/>
        <w:jc w:val="both"/>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cs="Arial"/>
          <w:sz w:val="24"/>
          <w:szCs w:val="24"/>
          <w:lang w:val="pt-BR"/>
        </w:rPr>
      </w:pPr>
      <w:r>
        <w:rPr>
          <w:rFonts w:hint="default" w:ascii="Arial" w:hAnsi="Arial" w:cs="Arial"/>
          <w:sz w:val="24"/>
          <w:szCs w:val="24"/>
          <w:lang w:val="pt-BR"/>
        </w:rPr>
        <w:t>Legenda simplificada</w:t>
      </w:r>
      <w:r>
        <w:rPr>
          <w:rFonts w:hint="default" w:ascii="Arial" w:hAnsi="Arial" w:cs="Arial"/>
          <w:sz w:val="24"/>
          <w:szCs w:val="24"/>
          <w:lang w:val="pt-BR"/>
        </w:rPr>
        <w:br w:type="textWrapping"/>
      </w:r>
      <w:r>
        <w:rPr>
          <w:rFonts w:hint="default" w:ascii="Arial" w:hAnsi="Arial" w:cs="Arial"/>
          <w:sz w:val="24"/>
          <w:szCs w:val="24"/>
          <w:lang w:val="pt-BR"/>
        </w:rPr>
        <w:t>A (altura): 142.8</w:t>
      </w:r>
      <w:r>
        <w:rPr>
          <w:rFonts w:hint="default" w:ascii="Arial" w:hAnsi="Arial" w:cs="Arial"/>
          <w:sz w:val="24"/>
          <w:szCs w:val="24"/>
          <w:lang w:val="pt-BR"/>
        </w:rPr>
        <w:br w:type="textWrapping"/>
      </w:r>
      <w:r>
        <w:rPr>
          <w:rFonts w:hint="default" w:ascii="Arial" w:hAnsi="Arial" w:cs="Arial"/>
          <w:sz w:val="24"/>
          <w:szCs w:val="24"/>
          <w:lang w:val="pt-BR"/>
        </w:rPr>
        <w:t>B (base): 130.17</w:t>
      </w:r>
      <w:r>
        <w:rPr>
          <w:rFonts w:hint="default" w:ascii="Arial" w:hAnsi="Arial" w:cs="Arial"/>
          <w:sz w:val="24"/>
          <w:szCs w:val="24"/>
          <w:lang w:val="pt-BR"/>
        </w:rPr>
        <w:br w:type="textWrapping"/>
      </w:r>
      <w:r>
        <w:rPr>
          <w:rFonts w:hint="default" w:ascii="Arial" w:hAnsi="Arial" w:cs="Arial"/>
          <w:sz w:val="24"/>
          <w:szCs w:val="24"/>
          <w:lang w:val="pt-BR"/>
        </w:rPr>
        <w:t>C (boleto): 65.09</w:t>
      </w:r>
      <w:r>
        <w:rPr>
          <w:rFonts w:hint="default" w:ascii="Arial" w:hAnsi="Arial" w:cs="Arial"/>
          <w:sz w:val="24"/>
          <w:szCs w:val="24"/>
          <w:lang w:val="pt-BR"/>
        </w:rPr>
        <w:br w:type="textWrapping"/>
      </w:r>
      <w:r>
        <w:rPr>
          <w:rFonts w:hint="default" w:ascii="Arial" w:hAnsi="Arial" w:cs="Arial"/>
          <w:sz w:val="24"/>
          <w:szCs w:val="24"/>
          <w:lang w:val="pt-BR"/>
        </w:rPr>
        <w:t>D (alma): 14.29</w:t>
      </w:r>
    </w:p>
    <w:p>
      <w:pPr>
        <w:spacing w:after="120" w:line="360" w:lineRule="auto"/>
        <w:jc w:val="center"/>
        <w:rPr>
          <w:rFonts w:hint="default" w:ascii="Arial" w:hAnsi="Arial" w:eastAsia="Arial Unicode MS" w:cs="Arial"/>
          <w:b/>
          <w:sz w:val="24"/>
          <w:szCs w:val="24"/>
          <w:lang w:val="pt-BR"/>
        </w:rPr>
      </w:pPr>
    </w:p>
    <w:p>
      <w:pPr>
        <w:spacing w:after="120" w:line="360" w:lineRule="auto"/>
        <w:jc w:val="center"/>
        <w:rPr>
          <w:rFonts w:hint="default" w:ascii="Arial" w:hAnsi="Arial" w:cs="Arial"/>
          <w:b/>
          <w:bCs/>
          <w:sz w:val="24"/>
          <w:szCs w:val="24"/>
          <w:lang w:val="pt-BR"/>
        </w:rPr>
      </w:pPr>
      <w:r>
        <w:rPr>
          <w:rFonts w:hint="default" w:ascii="Arial" w:hAnsi="Arial" w:eastAsia="Arial Unicode MS" w:cs="Arial"/>
          <w:b/>
          <w:sz w:val="24"/>
          <w:szCs w:val="24"/>
          <w:lang w:val="pt-BR"/>
        </w:rPr>
        <w:t>TRILHO TR 57</w:t>
      </w:r>
    </w:p>
    <w:p>
      <w:pPr>
        <w:spacing w:after="0" w:line="360" w:lineRule="auto"/>
        <w:jc w:val="center"/>
      </w:pPr>
      <w:r>
        <w:drawing>
          <wp:inline distT="0" distB="0" distL="114300" distR="114300">
            <wp:extent cx="5394960" cy="6898640"/>
            <wp:effectExtent l="0" t="0" r="15240" b="16510"/>
            <wp:docPr id="2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10"/>
                    <pic:cNvPicPr>
                      <a:picLocks noChangeAspect="1"/>
                    </pic:cNvPicPr>
                  </pic:nvPicPr>
                  <pic:blipFill>
                    <a:blip r:embed="rId7"/>
                    <a:stretch>
                      <a:fillRect/>
                    </a:stretch>
                  </pic:blipFill>
                  <pic:spPr>
                    <a:xfrm>
                      <a:off x="0" y="0"/>
                      <a:ext cx="5394960" cy="689864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cs="Arial"/>
          <w:sz w:val="24"/>
          <w:szCs w:val="24"/>
          <w:lang w:val="pt-BR"/>
        </w:rPr>
      </w:pPr>
      <w:r>
        <w:rPr>
          <w:rFonts w:hint="default" w:ascii="Arial" w:hAnsi="Arial" w:cs="Arial"/>
          <w:sz w:val="24"/>
          <w:szCs w:val="24"/>
          <w:lang w:val="pt-BR"/>
        </w:rPr>
        <w:t>Legenda simplificada</w:t>
      </w:r>
      <w:r>
        <w:rPr>
          <w:rFonts w:hint="default" w:ascii="Arial" w:hAnsi="Arial" w:cs="Arial"/>
          <w:sz w:val="24"/>
          <w:szCs w:val="24"/>
          <w:lang w:val="pt-BR"/>
        </w:rPr>
        <w:br w:type="textWrapping"/>
      </w:r>
      <w:r>
        <w:rPr>
          <w:rFonts w:hint="default" w:ascii="Arial" w:hAnsi="Arial" w:cs="Arial"/>
          <w:sz w:val="24"/>
          <w:szCs w:val="24"/>
          <w:lang w:val="pt-BR"/>
        </w:rPr>
        <w:t>A (altura): 168.28</w:t>
      </w:r>
      <w:r>
        <w:rPr>
          <w:rFonts w:hint="default" w:ascii="Arial" w:hAnsi="Arial" w:cs="Arial"/>
          <w:sz w:val="24"/>
          <w:szCs w:val="24"/>
          <w:lang w:val="pt-BR"/>
        </w:rPr>
        <w:br w:type="textWrapping"/>
      </w:r>
      <w:r>
        <w:rPr>
          <w:rFonts w:hint="default" w:ascii="Arial" w:hAnsi="Arial" w:cs="Arial"/>
          <w:sz w:val="24"/>
          <w:szCs w:val="24"/>
          <w:lang w:val="pt-BR"/>
        </w:rPr>
        <w:t>B (base): 139.7</w:t>
      </w:r>
      <w:r>
        <w:rPr>
          <w:rFonts w:hint="default" w:ascii="Arial" w:hAnsi="Arial" w:cs="Arial"/>
          <w:sz w:val="24"/>
          <w:szCs w:val="24"/>
          <w:lang w:val="pt-BR"/>
        </w:rPr>
        <w:br w:type="textWrapping"/>
      </w:r>
      <w:r>
        <w:rPr>
          <w:rFonts w:hint="default" w:ascii="Arial" w:hAnsi="Arial" w:cs="Arial"/>
          <w:sz w:val="24"/>
          <w:szCs w:val="24"/>
          <w:lang w:val="pt-BR"/>
        </w:rPr>
        <w:t>C (boleto): 69.06</w:t>
      </w:r>
      <w:r>
        <w:rPr>
          <w:rFonts w:hint="default" w:ascii="Arial" w:hAnsi="Arial" w:cs="Arial"/>
          <w:sz w:val="24"/>
          <w:szCs w:val="24"/>
          <w:lang w:val="pt-BR"/>
        </w:rPr>
        <w:br w:type="textWrapping"/>
      </w:r>
      <w:r>
        <w:rPr>
          <w:rFonts w:hint="default" w:ascii="Arial" w:hAnsi="Arial" w:cs="Arial"/>
          <w:sz w:val="24"/>
          <w:szCs w:val="24"/>
          <w:lang w:val="pt-BR"/>
        </w:rPr>
        <w:t>D (alma): 15.88</w:t>
      </w:r>
    </w:p>
    <w:p>
      <w:pPr>
        <w:spacing w:after="120" w:line="360" w:lineRule="auto"/>
        <w:jc w:val="center"/>
        <w:rPr>
          <w:rFonts w:hint="default" w:ascii="Arial" w:hAnsi="Arial" w:eastAsia="Arial Unicode MS" w:cs="Arial"/>
          <w:b/>
          <w:sz w:val="24"/>
          <w:szCs w:val="24"/>
          <w:lang w:val="pt-BR"/>
        </w:rPr>
      </w:pPr>
    </w:p>
    <w:p>
      <w:pPr>
        <w:spacing w:after="120" w:line="360" w:lineRule="auto"/>
        <w:jc w:val="center"/>
        <w:rPr>
          <w:rFonts w:hint="default" w:ascii="Arial" w:hAnsi="Arial" w:eastAsia="Arial Unicode MS" w:cs="Arial"/>
          <w:b/>
          <w:sz w:val="24"/>
          <w:szCs w:val="24"/>
          <w:lang w:val="pt-BR"/>
        </w:rPr>
      </w:pPr>
      <w:r>
        <w:rPr>
          <w:rFonts w:hint="default" w:ascii="Arial" w:hAnsi="Arial" w:eastAsia="Arial Unicode MS" w:cs="Arial"/>
          <w:b/>
          <w:sz w:val="24"/>
          <w:szCs w:val="24"/>
          <w:lang w:val="pt-BR"/>
        </w:rPr>
        <w:t>TRILHO TR 68</w:t>
      </w:r>
    </w:p>
    <w:p>
      <w:pPr>
        <w:spacing w:after="0" w:line="360" w:lineRule="auto"/>
        <w:jc w:val="center"/>
      </w:pPr>
      <w:r>
        <w:drawing>
          <wp:inline distT="0" distB="0" distL="114300" distR="114300">
            <wp:extent cx="5394960" cy="6518910"/>
            <wp:effectExtent l="0" t="0" r="15240" b="15240"/>
            <wp:docPr id="2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11"/>
                    <pic:cNvPicPr>
                      <a:picLocks noChangeAspect="1"/>
                    </pic:cNvPicPr>
                  </pic:nvPicPr>
                  <pic:blipFill>
                    <a:blip r:embed="rId8"/>
                    <a:stretch>
                      <a:fillRect/>
                    </a:stretch>
                  </pic:blipFill>
                  <pic:spPr>
                    <a:xfrm>
                      <a:off x="0" y="0"/>
                      <a:ext cx="5394960" cy="651891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Arial" w:hAnsi="Arial" w:cs="Arial"/>
          <w:sz w:val="24"/>
          <w:szCs w:val="24"/>
          <w:lang w:val="pt-BR"/>
        </w:rPr>
      </w:pPr>
      <w:r>
        <w:rPr>
          <w:rFonts w:hint="default" w:ascii="Arial" w:hAnsi="Arial" w:cs="Arial"/>
          <w:sz w:val="24"/>
          <w:szCs w:val="24"/>
          <w:lang w:val="pt-BR"/>
        </w:rPr>
        <w:t>Legenda simplificada</w:t>
      </w:r>
      <w:r>
        <w:rPr>
          <w:rFonts w:hint="default" w:ascii="Arial" w:hAnsi="Arial" w:cs="Arial"/>
          <w:sz w:val="24"/>
          <w:szCs w:val="24"/>
          <w:lang w:val="pt-BR"/>
        </w:rPr>
        <w:br w:type="textWrapping"/>
      </w:r>
      <w:r>
        <w:rPr>
          <w:rFonts w:hint="default" w:ascii="Arial" w:hAnsi="Arial" w:cs="Arial"/>
          <w:sz w:val="24"/>
          <w:szCs w:val="24"/>
          <w:lang w:val="pt-BR"/>
        </w:rPr>
        <w:t>A (altura): 185.74</w:t>
      </w:r>
      <w:r>
        <w:rPr>
          <w:rFonts w:hint="default" w:ascii="Arial" w:hAnsi="Arial" w:cs="Arial"/>
          <w:sz w:val="24"/>
          <w:szCs w:val="24"/>
          <w:lang w:val="pt-BR"/>
        </w:rPr>
        <w:br w:type="textWrapping"/>
      </w:r>
      <w:r>
        <w:rPr>
          <w:rFonts w:hint="default" w:ascii="Arial" w:hAnsi="Arial" w:cs="Arial"/>
          <w:sz w:val="24"/>
          <w:szCs w:val="24"/>
          <w:lang w:val="pt-BR"/>
        </w:rPr>
        <w:t>B (base): 152.4</w:t>
      </w:r>
      <w:r>
        <w:rPr>
          <w:rFonts w:hint="default" w:ascii="Arial" w:hAnsi="Arial" w:cs="Arial"/>
          <w:sz w:val="24"/>
          <w:szCs w:val="24"/>
          <w:lang w:val="pt-BR"/>
        </w:rPr>
        <w:br w:type="textWrapping"/>
      </w:r>
      <w:r>
        <w:rPr>
          <w:rFonts w:hint="default" w:ascii="Arial" w:hAnsi="Arial" w:cs="Arial"/>
          <w:sz w:val="24"/>
          <w:szCs w:val="24"/>
          <w:lang w:val="pt-BR"/>
        </w:rPr>
        <w:t>C (boleto): 74.61</w:t>
      </w:r>
      <w:r>
        <w:rPr>
          <w:rFonts w:hint="default" w:ascii="Arial" w:hAnsi="Arial" w:cs="Arial"/>
          <w:sz w:val="24"/>
          <w:szCs w:val="24"/>
          <w:lang w:val="pt-BR"/>
        </w:rPr>
        <w:br w:type="textWrapping"/>
      </w:r>
      <w:r>
        <w:rPr>
          <w:rFonts w:hint="default" w:ascii="Arial" w:hAnsi="Arial" w:cs="Arial"/>
          <w:sz w:val="24"/>
          <w:szCs w:val="24"/>
          <w:lang w:val="pt-BR"/>
        </w:rPr>
        <w:t>D (alma): 17.46</w:t>
      </w:r>
    </w:p>
    <w:p>
      <w:pPr>
        <w:pStyle w:val="56"/>
        <w:spacing w:after="288" w:afterLines="120" w:line="312" w:lineRule="auto"/>
        <w:ind w:firstLine="709"/>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firstLine="709"/>
        <w:rPr>
          <w:sz w:val="24"/>
          <w:szCs w:val="24"/>
          <w:highlight w:val="none"/>
        </w:rPr>
      </w:pPr>
      <w:r>
        <w:rPr>
          <w:sz w:val="24"/>
          <w:szCs w:val="24"/>
          <w:highlight w:val="none"/>
        </w:rPr>
        <w:t>O</w:t>
      </w:r>
      <w:r>
        <w:rPr>
          <w:rFonts w:hint="default"/>
          <w:sz w:val="24"/>
          <w:szCs w:val="24"/>
          <w:highlight w:val="none"/>
          <w:lang w:val="pt-BR"/>
        </w:rPr>
        <w:t xml:space="preserve"> </w:t>
      </w:r>
      <w:r>
        <w:rPr>
          <w:sz w:val="24"/>
          <w:szCs w:val="24"/>
          <w:highlight w:val="none"/>
        </w:rPr>
        <w:t>objeto desta contratação são caracterizados como comuns, conforme justificativa constante do Estudo Técnico Preliminar.</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O prazo de vigência da contratação é de</w:t>
      </w:r>
      <w:r>
        <w:rPr>
          <w:rFonts w:hint="default"/>
          <w:i w:val="0"/>
          <w:iCs w:val="0"/>
          <w:color w:val="auto"/>
          <w:sz w:val="24"/>
          <w:szCs w:val="24"/>
          <w:highlight w:val="none"/>
          <w:lang w:val="pt-BR"/>
        </w:rPr>
        <w:t xml:space="preserve"> 12 (doze) meses </w:t>
      </w:r>
      <w:r>
        <w:rPr>
          <w:i w:val="0"/>
          <w:iCs w:val="0"/>
          <w:color w:val="auto"/>
          <w:sz w:val="24"/>
          <w:szCs w:val="24"/>
          <w:highlight w:val="none"/>
        </w:rPr>
        <w:t>contados do(a)</w:t>
      </w:r>
      <w:r>
        <w:rPr>
          <w:rFonts w:hint="default"/>
          <w:i w:val="0"/>
          <w:iCs w:val="0"/>
          <w:color w:val="auto"/>
          <w:sz w:val="24"/>
          <w:szCs w:val="24"/>
          <w:highlight w:val="none"/>
          <w:lang w:val="pt-BR"/>
        </w:rPr>
        <w:t xml:space="preserve"> assinatura do contrato</w:t>
      </w:r>
      <w:r>
        <w:rPr>
          <w:i w:val="0"/>
          <w:iCs w:val="0"/>
          <w:color w:val="auto"/>
          <w:sz w:val="24"/>
          <w:szCs w:val="24"/>
          <w:highlight w:val="none"/>
        </w:rPr>
        <w:t>, na forma do artigo 105 da Lei n° 14.133, de 2021.</w:t>
      </w:r>
    </w:p>
    <w:p>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highlight w:val="none"/>
        </w:rPr>
      </w:pPr>
      <w:r>
        <w:rPr>
          <w:sz w:val="24"/>
          <w:szCs w:val="24"/>
        </w:rPr>
        <w:t>A Fundamentação da Contratação e de seus quantitativos encontra-se pormenorizada em Tópico específico dos Estudos Técnicos Preliminares, apêndice deste T</w:t>
      </w:r>
      <w:r>
        <w:rPr>
          <w:sz w:val="24"/>
          <w:szCs w:val="24"/>
          <w:highlight w:val="none"/>
        </w:rPr>
        <w:t>ermo de Referência.</w:t>
      </w:r>
    </w:p>
    <w:p>
      <w:pPr>
        <w:pStyle w:val="56"/>
        <w:spacing w:after="288" w:afterLines="120" w:line="312" w:lineRule="auto"/>
        <w:ind w:firstLine="709"/>
        <w:rPr>
          <w:sz w:val="24"/>
          <w:szCs w:val="24"/>
          <w:highlight w:val="none"/>
        </w:rPr>
      </w:pPr>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r>
        <w:rPr>
          <w:rFonts w:hint="default"/>
          <w:color w:val="auto"/>
          <w:sz w:val="24"/>
          <w:szCs w:val="24"/>
          <w:highlight w:val="none"/>
          <w:lang w:val="pt-BR"/>
        </w:rPr>
        <w:t xml:space="preserve"> </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rPr>
      </w:pPr>
      <w:r>
        <w:rPr>
          <w:sz w:val="24"/>
          <w:szCs w:val="24"/>
        </w:rPr>
        <w:t>REQUISITOS DA CONTRATAÇÃO</w:t>
      </w:r>
    </w:p>
    <w:p>
      <w:pPr>
        <w:pStyle w:val="109"/>
        <w:spacing w:before="120" w:after="288" w:afterLines="120" w:line="312" w:lineRule="auto"/>
        <w:ind w:left="0"/>
        <w:rPr>
          <w:color w:val="auto"/>
          <w:sz w:val="24"/>
          <w:szCs w:val="24"/>
          <w:highlight w:val="none"/>
        </w:rPr>
      </w:pPr>
      <w:r>
        <w:rPr>
          <w:color w:val="auto"/>
          <w:sz w:val="24"/>
          <w:szCs w:val="24"/>
          <w:highlight w:val="none"/>
        </w:rPr>
        <w:t>Subcontratação</w:t>
      </w:r>
    </w:p>
    <w:p>
      <w:pPr>
        <w:pStyle w:val="56"/>
        <w:spacing w:after="288" w:afterLines="120" w:line="312" w:lineRule="auto"/>
        <w:ind w:firstLine="709"/>
        <w:rPr>
          <w:color w:val="auto"/>
          <w:sz w:val="24"/>
          <w:szCs w:val="24"/>
          <w:highlight w:val="none"/>
        </w:rPr>
      </w:pPr>
      <w:r>
        <w:rPr>
          <w:color w:val="auto"/>
          <w:sz w:val="24"/>
          <w:szCs w:val="24"/>
          <w:highlight w:val="none"/>
        </w:rPr>
        <w:t>Não é admitida a subcontratação do objeto contratual.</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 xml:space="preserve">Os bens deverão possuir garantia de 12 (doze) meses por parte do fabricante. </w:t>
      </w:r>
    </w:p>
    <w:p>
      <w:pPr>
        <w:pStyle w:val="39"/>
        <w:spacing w:before="120" w:after="288" w:afterLines="120" w:line="312" w:lineRule="auto"/>
        <w:rPr>
          <w:sz w:val="24"/>
          <w:szCs w:val="24"/>
        </w:rPr>
      </w:pPr>
      <w:r>
        <w:rPr>
          <w:sz w:val="24"/>
          <w:szCs w:val="24"/>
        </w:rPr>
        <w:t>MODELO DE EXECUÇÃO DO OBJETO</w:t>
      </w:r>
    </w:p>
    <w:p>
      <w:pPr>
        <w:pStyle w:val="109"/>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 prazo de entrega dos bens é de 15 (quinze) dias úteis, contados do(a) apresentação da ordem de compra, de forma parcelada. </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As parcelas serão entregues conforme necessidade da Secretaria Municipal de Obras e Serviços Públicos, e de acordo com as quantidades informadas na ordem de serviço.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 entrega do produto será realizado em local designado pela secretaria requisitante, podendo ser em área urbana ou rural, informado na NAF.</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horário para entrega dos produtos é de 7h às 11h e de 13h às 17h, de segunda-feira a sexta-feira, ou outro horário estipulado na ordem de execução de serviço.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A empresa ficará responsável pela entrega dos produtos, mesmo em locais que contenham mais de 1 (um) piso. </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Caso não seja possível a entrega na data assinalada, a empresa deverá comunicar as razões respectivas com pelo menos 05 (cinco) dias de antecedência para que qualquer pleito de prorrogação de prazo seja analisado, ressalvadas situações de caso fortuito e força maior.</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No caso de reprovação do produto, a empresa terá 05 (cinco) dias corridos contados a partir da data de retirada do material das dependências da Administração pelo Contratado.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prazo indicado no subitem anterior, durante seu transcurso, poderá ser prorrogado uma única vez, por igual período, mediante solicitação escrita e justificada do Contratado, aceita pelo Contratante.</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Havendo comprovação da existência de má qualidade dos produtos, ora licitados, que venha comprometer a execução das pontes, será notificada a licitante vencedora para proceder a substituição dos produtos imediatamente.</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Os produtos devem ser entregues com no máximo 1/3 (um terço) da validade transcorrido, sob pena de devolução. Para ítens como máquinas e equipamentos, deverá ter garantia de pelo menos 06 (seis) meses pelo fornecedor a partir da data de entrega.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Os bens não devem apresentar avarias e defeitos.</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custo referente ao transporte dos materiais será de responsabilidade da Contratada.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Não é admitida a subcontratação do objeto contratual. </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É obrigatório entregar a Nota Fiscal junto com a entrega do produto. Não serão aceitas notas fiscais enviadas por email para fim de recebimento.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Os bens a serem adquiridos enquadram-se na classificação de bens comuns, nos termos da Lei n° 10.520, de 2002, do Decreto n° 3.555, de 2000. </w:t>
      </w:r>
    </w:p>
    <w:p>
      <w:pPr>
        <w:pStyle w:val="39"/>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288" w:afterLines="120" w:line="312" w:lineRule="auto"/>
        <w:ind w:firstLine="709"/>
        <w:rPr>
          <w:rFonts w:hint="default" w:ascii="Arial" w:hAnsi="Arial" w:cs="Arial"/>
          <w:i w:val="0"/>
          <w:iCs w:val="0"/>
          <w:color w:val="000000"/>
          <w:sz w:val="24"/>
          <w:szCs w:val="24"/>
          <w:u w:val="none"/>
          <w:vertAlign w:val="baseline"/>
          <w:lang w:val="pt-BR"/>
        </w:rPr>
      </w:pPr>
      <w:r>
        <w:rPr>
          <w:rFonts w:hint="default" w:ascii="Arial" w:hAnsi="Arial" w:cs="Arial"/>
          <w:i w:val="0"/>
          <w:iCs w:val="0"/>
          <w:color w:val="000000"/>
          <w:sz w:val="24"/>
          <w:szCs w:val="24"/>
          <w:u w:val="none"/>
          <w:vertAlign w:val="baseline"/>
        </w:rPr>
        <w:t>A execução do contrato deverá ser acompanhada e fiscalizada pelo(s) fiscal(is) do contrato, ou pelos respectivos substitutos (</w:t>
      </w:r>
      <w:r>
        <w:rPr>
          <w:rFonts w:hint="default" w:ascii="Arial" w:hAnsi="Arial" w:cs="Arial"/>
          <w:i w:val="0"/>
          <w:iCs w:val="0"/>
          <w:color w:val="000080"/>
          <w:sz w:val="24"/>
          <w:szCs w:val="24"/>
          <w:u w:val="single"/>
          <w:vertAlign w:val="baseline"/>
        </w:rPr>
        <w:t>Lei nº 14.133, de 2021, art. 117, caput</w:t>
      </w:r>
      <w:r>
        <w:rPr>
          <w:rFonts w:hint="default" w:ascii="Arial" w:hAnsi="Arial" w:cs="Arial"/>
          <w:i w:val="0"/>
          <w:iCs w:val="0"/>
          <w:color w:val="000000"/>
          <w:sz w:val="24"/>
          <w:szCs w:val="24"/>
          <w:u w:val="none"/>
          <w:vertAlign w:val="baseline"/>
        </w:rPr>
        <w:t xml:space="preserve">), sendo indicado para a presente contratação </w:t>
      </w:r>
      <w:r>
        <w:rPr>
          <w:rFonts w:hint="default" w:ascii="Arial" w:hAnsi="Arial" w:cs="Arial"/>
          <w:i w:val="0"/>
          <w:iCs w:val="0"/>
          <w:color w:val="000000"/>
          <w:sz w:val="24"/>
          <w:szCs w:val="24"/>
          <w:u w:val="none"/>
          <w:vertAlign w:val="baseline"/>
          <w:lang w:val="pt-BR"/>
        </w:rPr>
        <w:t xml:space="preserve">o </w:t>
      </w:r>
      <w:r>
        <w:rPr>
          <w:rFonts w:hint="default" w:ascii="Arial" w:hAnsi="Arial" w:cs="Arial"/>
          <w:i w:val="0"/>
          <w:iCs w:val="0"/>
          <w:color w:val="000000"/>
          <w:sz w:val="24"/>
          <w:szCs w:val="24"/>
          <w:u w:val="none"/>
          <w:vertAlign w:val="baseline"/>
        </w:rPr>
        <w:t xml:space="preserve">servidor </w:t>
      </w:r>
      <w:r>
        <w:rPr>
          <w:rFonts w:hint="default" w:ascii="Arial" w:hAnsi="Arial" w:cs="Arial"/>
          <w:i w:val="0"/>
          <w:iCs w:val="0"/>
          <w:color w:val="000000"/>
          <w:sz w:val="24"/>
          <w:szCs w:val="24"/>
          <w:u w:val="none"/>
          <w:vertAlign w:val="baseline"/>
          <w:lang w:val="pt-BR"/>
        </w:rPr>
        <w:t>José Maria de Moura MASP: 9150/2</w:t>
      </w:r>
      <w:r>
        <w:rPr>
          <w:rFonts w:hint="default" w:ascii="Arial" w:hAnsi="Arial" w:cs="Arial"/>
          <w:i w:val="0"/>
          <w:iCs w:val="0"/>
          <w:color w:val="000000"/>
          <w:sz w:val="24"/>
          <w:szCs w:val="24"/>
          <w:u w:val="none"/>
          <w:vertAlign w:val="baseline"/>
        </w:rPr>
        <w:t xml:space="preserve"> para atuar como fisca</w:t>
      </w:r>
      <w:r>
        <w:rPr>
          <w:rFonts w:hint="default" w:ascii="Arial" w:hAnsi="Arial" w:cs="Arial"/>
          <w:i w:val="0"/>
          <w:iCs w:val="0"/>
          <w:color w:val="000000"/>
          <w:sz w:val="24"/>
          <w:szCs w:val="24"/>
          <w:u w:val="none"/>
          <w:vertAlign w:val="baseline"/>
          <w:lang w:val="pt-BR"/>
        </w:rPr>
        <w:t>l</w:t>
      </w:r>
      <w:r>
        <w:rPr>
          <w:rFonts w:hint="default" w:ascii="Arial" w:hAnsi="Arial" w:cs="Arial"/>
          <w:i w:val="0"/>
          <w:iCs w:val="0"/>
          <w:color w:val="000000"/>
          <w:sz w:val="24"/>
          <w:szCs w:val="24"/>
          <w:u w:val="none"/>
          <w:vertAlign w:val="baseline"/>
        </w:rPr>
        <w:t xml:space="preserve"> do contrato e o servidor </w:t>
      </w:r>
      <w:r>
        <w:rPr>
          <w:rFonts w:hint="default" w:ascii="Arial" w:hAnsi="Arial" w:cs="Arial"/>
          <w:i w:val="0"/>
          <w:iCs w:val="0"/>
          <w:color w:val="000000"/>
          <w:sz w:val="24"/>
          <w:szCs w:val="24"/>
          <w:u w:val="none"/>
          <w:vertAlign w:val="baseline"/>
          <w:lang w:val="pt-BR"/>
        </w:rPr>
        <w:t>Daniel Ribeiro de Mendonça MASP: 6602/8</w:t>
      </w:r>
      <w:r>
        <w:rPr>
          <w:rFonts w:hint="default" w:ascii="Arial" w:hAnsi="Arial" w:cs="Arial"/>
          <w:i w:val="0"/>
          <w:iCs w:val="0"/>
          <w:color w:val="000000"/>
          <w:sz w:val="24"/>
          <w:szCs w:val="24"/>
          <w:u w:val="none"/>
          <w:vertAlign w:val="baseline"/>
        </w:rPr>
        <w:t xml:space="preserve"> para atuar como gestor do contrato</w:t>
      </w:r>
      <w:r>
        <w:rPr>
          <w:rFonts w:hint="default" w:ascii="Arial" w:hAnsi="Arial" w:cs="Arial"/>
          <w:i w:val="0"/>
          <w:iCs w:val="0"/>
          <w:color w:val="000000"/>
          <w:sz w:val="24"/>
          <w:szCs w:val="24"/>
          <w:u w:val="none"/>
          <w:vertAlign w:val="baseline"/>
          <w:lang w:val="pt-BR"/>
        </w:rPr>
        <w:t xml:space="preserve">. </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hint="default"/>
          <w:sz w:val="24"/>
          <w:szCs w:val="24"/>
          <w:lang w:val="pt-BR" w:eastAsia="en-US"/>
        </w:rPr>
        <w:t xml:space="preserve"> </w:t>
      </w:r>
      <w:r>
        <w:rPr>
          <w:sz w:val="24"/>
          <w:szCs w:val="24"/>
          <w:lang w:eastAsia="en-US"/>
        </w:rPr>
        <w:t>e na proposta.</w:t>
      </w:r>
    </w:p>
    <w:p>
      <w:pPr>
        <w:pStyle w:val="56"/>
        <w:spacing w:after="288" w:afterLines="120" w:line="312" w:lineRule="auto"/>
        <w:ind w:firstLine="709"/>
        <w:rPr>
          <w:sz w:val="24"/>
          <w:szCs w:val="24"/>
          <w:lang w:eastAsia="en-US"/>
        </w:rPr>
      </w:pPr>
      <w:r>
        <w:rPr>
          <w:sz w:val="24"/>
          <w:szCs w:val="24"/>
          <w:lang w:eastAsia="en-US"/>
        </w:rPr>
        <w:t>Os itens poderão ser rejeitados, no todo ou em parte, quando em desacordo com as especificações constantes no Termo de Referência</w:t>
      </w:r>
      <w:r>
        <w:rPr>
          <w:rFonts w:hint="default"/>
          <w:sz w:val="24"/>
          <w:szCs w:val="24"/>
          <w:lang w:val="pt-BR" w:eastAsia="en-US"/>
        </w:rPr>
        <w:t xml:space="preserve"> </w:t>
      </w:r>
      <w:r>
        <w:rPr>
          <w:sz w:val="24"/>
          <w:szCs w:val="24"/>
          <w:lang w:eastAsia="en-US"/>
        </w:rPr>
        <w:t xml:space="preserve">e na proposta, devendo ser substituídos no prazo </w:t>
      </w:r>
      <w:r>
        <w:rPr>
          <w:color w:val="auto"/>
          <w:sz w:val="24"/>
          <w:szCs w:val="24"/>
          <w:lang w:eastAsia="en-US"/>
        </w:rPr>
        <w:t>de</w:t>
      </w:r>
      <w:r>
        <w:rPr>
          <w:rFonts w:hint="default"/>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w:t>
      </w:r>
      <w:r>
        <w:rPr>
          <w:rFonts w:hint="default"/>
          <w:sz w:val="24"/>
          <w:szCs w:val="24"/>
          <w:lang w:val="pt-BR" w:eastAsia="en-US"/>
        </w:rPr>
        <w:t xml:space="preserve"> </w:t>
      </w:r>
      <w:r>
        <w:rPr>
          <w:sz w:val="24"/>
          <w:szCs w:val="24"/>
          <w:lang w:eastAsia="en-US"/>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Registro de Preços</w:t>
      </w:r>
      <w:r>
        <w:rPr>
          <w:rFonts w:eastAsia="Arial"/>
          <w:sz w:val="24"/>
          <w:szCs w:val="24"/>
        </w:rPr>
        <w:t xml:space="preserve">, sob a forma ELETRÔNICA, com adoção do critério de julgamento pelo </w:t>
      </w:r>
      <w:r>
        <w:rPr>
          <w:rFonts w:hint="default" w:eastAsia="Arial"/>
          <w:sz w:val="24"/>
          <w:szCs w:val="24"/>
          <w:lang w:val="pt-BR"/>
        </w:rPr>
        <w:t xml:space="preserve">menor preço por ítem. </w:t>
      </w:r>
    </w:p>
    <w:p>
      <w:pPr>
        <w:pStyle w:val="56"/>
        <w:spacing w:afterLines="120" w:line="312" w:lineRule="auto"/>
        <w:ind w:left="11" w:leftChars="0" w:firstLine="709" w:firstLineChars="0"/>
        <w:rPr>
          <w:sz w:val="24"/>
          <w:szCs w:val="24"/>
          <w:highlight w:val="none"/>
        </w:rPr>
      </w:pPr>
      <w:r>
        <w:rPr>
          <w:rFonts w:hint="default"/>
          <w:sz w:val="24"/>
          <w:szCs w:val="24"/>
          <w:highlight w:val="none"/>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r>
        <w:rPr>
          <w:rFonts w:hint="default"/>
          <w:sz w:val="24"/>
          <w:szCs w:val="24"/>
          <w:highlight w:val="none"/>
          <w:lang w:val="pt-BR"/>
        </w:rPr>
        <w:t>.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6"/>
        <w:spacing w:after="288" w:afterLines="120" w:line="312" w:lineRule="auto"/>
        <w:ind w:firstLine="709"/>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rFonts w:hint="default" w:ascii="Arial" w:hAnsi="Arial"/>
          <w:color w:val="000000"/>
          <w:sz w:val="24"/>
          <w:szCs w:val="24"/>
        </w:rPr>
        <w:t>Balanço patrimonial, demonstração de resultado de exercício e demais demonstrações contábeis relativos ao último exercício 2023</w:t>
      </w:r>
      <w:r>
        <w:rPr>
          <w:rFonts w:hint="default" w:ascii="Arial" w:hAnsi="Arial"/>
          <w:color w:val="000000"/>
          <w:sz w:val="24"/>
          <w:szCs w:val="24"/>
          <w:lang w:val="en-US"/>
        </w:rPr>
        <w:t>.</w:t>
      </w:r>
      <w:r>
        <w:rPr>
          <w:rFonts w:hint="default" w:ascii="Arial" w:hAnsi="Arial"/>
          <w:color w:val="000000"/>
          <w:sz w:val="24"/>
          <w:szCs w:val="24"/>
          <w:lang w:val="pt-BR"/>
        </w:rPr>
        <w:t>(Lei nº 14.133, de 2021, art. 69, §6º).</w:t>
      </w:r>
      <w:r>
        <w:rPr>
          <w:rFonts w:hint="default" w:ascii="Arial" w:hAnsi="Arial"/>
          <w:color w:val="000000"/>
          <w:sz w:val="24"/>
          <w:szCs w:val="24"/>
          <w:lang w:val="en-US"/>
        </w:rPr>
        <w:t xml:space="preserve"> </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Os atestados de capacidade técnica poderão ser apresentados em nome da matriz ou da filial do fornecedor.</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firstLine="709"/>
        <w:rPr>
          <w:b/>
          <w:bCs/>
          <w:i w:val="0"/>
          <w:iCs w:val="0"/>
          <w:color w:val="auto"/>
          <w:sz w:val="24"/>
          <w:szCs w:val="24"/>
          <w:highlight w:val="none"/>
        </w:rPr>
      </w:pPr>
      <w:permStart w:id="0" w:edGrp="everyone"/>
      <w:r>
        <w:rPr>
          <w:rFonts w:hint="default"/>
          <w:i w:val="0"/>
          <w:iCs w:val="0"/>
          <w:color w:val="auto"/>
          <w:sz w:val="24"/>
          <w:szCs w:val="24"/>
          <w:highlight w:val="none"/>
        </w:rPr>
        <w:t>O custo estimado total da contratação está na tabela encaminhada pelo departamento de Suprimentos em anexo.</w:t>
      </w:r>
    </w:p>
    <w:permEnd w:id="0"/>
    <w:p>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p>
      <w:pPr>
        <w:pStyle w:val="56"/>
        <w:numPr>
          <w:ilvl w:val="0"/>
          <w:numId w:val="0"/>
        </w:numPr>
        <w:spacing w:after="288" w:afterLines="120" w:line="312" w:lineRule="auto"/>
        <w:rPr>
          <w:i/>
          <w:iCs/>
          <w:color w:val="FF0000"/>
          <w:sz w:val="24"/>
          <w:szCs w:val="24"/>
        </w:rPr>
      </w:pPr>
    </w:p>
    <w:p>
      <w:pPr>
        <w:pStyle w:val="56"/>
        <w:numPr>
          <w:ilvl w:val="0"/>
          <w:numId w:val="0"/>
        </w:numPr>
        <w:spacing w:afterLines="120" w:line="312" w:lineRule="auto"/>
        <w:jc w:val="left"/>
        <w:rPr>
          <w:rFonts w:hint="default"/>
          <w:color w:val="auto"/>
          <w:sz w:val="24"/>
          <w:szCs w:val="24"/>
          <w:highlight w:val="none"/>
          <w:lang w:val="pt-BR"/>
        </w:rPr>
      </w:pPr>
      <w:r>
        <w:rPr>
          <w:color w:val="auto"/>
          <w:sz w:val="24"/>
          <w:szCs w:val="24"/>
          <w:highlight w:val="yellow"/>
        </w:rPr>
        <w:t>[</w:t>
      </w:r>
      <w:permStart w:id="1" w:edGrp="everyone"/>
      <w:r>
        <w:rPr>
          <w:rFonts w:hint="default"/>
          <w:color w:val="auto"/>
          <w:sz w:val="24"/>
          <w:szCs w:val="24"/>
          <w:highlight w:val="none"/>
          <w:lang w:val="pt-BR"/>
        </w:rPr>
        <w:t>Arcos/MG, 10 de  junho de 2024.</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bookmarkEnd w:id="0"/>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ermEnd w:id="1"/>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_____________________________________</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sz w:val="24"/>
          <w:szCs w:val="24"/>
          <w:lang w:val="pt-BR"/>
        </w:rPr>
      </w:pPr>
      <w:r>
        <w:rPr>
          <w:rFonts w:hint="default" w:ascii="Arial" w:hAnsi="Arial" w:cs="Arial"/>
          <w:i w:val="0"/>
          <w:iCs w:val="0"/>
          <w:color w:val="000000"/>
          <w:sz w:val="24"/>
          <w:szCs w:val="24"/>
          <w:u w:val="none"/>
          <w:vertAlign w:val="baseline"/>
          <w:lang w:val="pt-BR"/>
        </w:rPr>
        <w:t xml:space="preserve"> </w:t>
      </w:r>
      <w:r>
        <w:rPr>
          <w:rFonts w:hint="default"/>
          <w:b w:val="0"/>
          <w:bCs w:val="0"/>
          <w:sz w:val="24"/>
          <w:szCs w:val="24"/>
          <w:lang w:val="pt-BR"/>
        </w:rPr>
        <w:t xml:space="preserve">Daniel Ribeiro de Mendonça </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sz w:val="24"/>
          <w:szCs w:val="24"/>
          <w:lang w:val="pt-BR"/>
        </w:rPr>
      </w:pPr>
      <w:r>
        <w:rPr>
          <w:rFonts w:hint="default"/>
          <w:color w:val="auto"/>
          <w:sz w:val="24"/>
          <w:szCs w:val="24"/>
          <w:highlight w:val="none"/>
          <w:lang w:val="pt-BR"/>
        </w:rPr>
        <w:t>Secretário Municipal de Obras e Serviços Públicos.</w:t>
      </w:r>
    </w:p>
    <w:p>
      <w:pPr>
        <w:spacing w:before="120" w:after="288" w:afterLines="120" w:line="312" w:lineRule="auto"/>
        <w:ind w:left="360"/>
        <w:jc w:val="center"/>
        <w:rPr>
          <w:rFonts w:ascii="Arial" w:hAnsi="Arial" w:cs="Arial"/>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Arial" w:hAnsi="Arial" w:cs="Arial"/>
          <w:lang w:val="pt-BR"/>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Open Sans">
    <w:altName w:val="Times New Roman"/>
    <w:panose1 w:val="00000000000000000000"/>
    <w:charset w:val="00"/>
    <w:family w:val="swiss"/>
    <w:pitch w:val="default"/>
    <w:sig w:usb0="00000000" w:usb1="00000000" w:usb2="00000028" w:usb3="00000000" w:csb0="0000019F" w:csb1="00000000"/>
  </w:font>
  <w:font w:name="ＭＳ 明朝">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38F2FB2"/>
    <w:rsid w:val="055AB46E"/>
    <w:rsid w:val="05B482E3"/>
    <w:rsid w:val="060EA3DB"/>
    <w:rsid w:val="0631775B"/>
    <w:rsid w:val="063653B2"/>
    <w:rsid w:val="06735D04"/>
    <w:rsid w:val="07AA743C"/>
    <w:rsid w:val="0825C528"/>
    <w:rsid w:val="09BD2C94"/>
    <w:rsid w:val="0AB4EB49"/>
    <w:rsid w:val="0B153EAE"/>
    <w:rsid w:val="0C72485D"/>
    <w:rsid w:val="0C9E538D"/>
    <w:rsid w:val="0CD8499C"/>
    <w:rsid w:val="0DA1B3F3"/>
    <w:rsid w:val="0DB0AC54"/>
    <w:rsid w:val="0EFA3098"/>
    <w:rsid w:val="0F79B9D7"/>
    <w:rsid w:val="100E06B1"/>
    <w:rsid w:val="10E0D201"/>
    <w:rsid w:val="11041DAD"/>
    <w:rsid w:val="114D992C"/>
    <w:rsid w:val="135B6EBA"/>
    <w:rsid w:val="1397586C"/>
    <w:rsid w:val="15FB6522"/>
    <w:rsid w:val="165C66F7"/>
    <w:rsid w:val="16649FEF"/>
    <w:rsid w:val="174854AE"/>
    <w:rsid w:val="184C4F44"/>
    <w:rsid w:val="187314D3"/>
    <w:rsid w:val="193305E4"/>
    <w:rsid w:val="1A0CC7BE"/>
    <w:rsid w:val="1AB5ADE8"/>
    <w:rsid w:val="1AECDB15"/>
    <w:rsid w:val="1C3EC466"/>
    <w:rsid w:val="1C8CA1DF"/>
    <w:rsid w:val="1CA52D74"/>
    <w:rsid w:val="1CD861F4"/>
    <w:rsid w:val="1D38DAFD"/>
    <w:rsid w:val="21D19061"/>
    <w:rsid w:val="21E662A0"/>
    <w:rsid w:val="225CA34E"/>
    <w:rsid w:val="23272055"/>
    <w:rsid w:val="242F06C7"/>
    <w:rsid w:val="24DF3391"/>
    <w:rsid w:val="2657C157"/>
    <w:rsid w:val="26789B7A"/>
    <w:rsid w:val="27D707DD"/>
    <w:rsid w:val="29B3559A"/>
    <w:rsid w:val="29F468E2"/>
    <w:rsid w:val="2A115A7D"/>
    <w:rsid w:val="2B4D64D2"/>
    <w:rsid w:val="2B7872A7"/>
    <w:rsid w:val="2BD857AB"/>
    <w:rsid w:val="2E29257B"/>
    <w:rsid w:val="2E715A7F"/>
    <w:rsid w:val="2F33A853"/>
    <w:rsid w:val="3003D639"/>
    <w:rsid w:val="3022A7F5"/>
    <w:rsid w:val="30CF78B4"/>
    <w:rsid w:val="34A1E81C"/>
    <w:rsid w:val="35A92963"/>
    <w:rsid w:val="36EC78EE"/>
    <w:rsid w:val="36F4710C"/>
    <w:rsid w:val="390C2635"/>
    <w:rsid w:val="3920A23A"/>
    <w:rsid w:val="396C1E89"/>
    <w:rsid w:val="399A2B53"/>
    <w:rsid w:val="3AE9E302"/>
    <w:rsid w:val="3B9683F7"/>
    <w:rsid w:val="3BCB3C2E"/>
    <w:rsid w:val="3CAB666A"/>
    <w:rsid w:val="3CD52E87"/>
    <w:rsid w:val="40993BDC"/>
    <w:rsid w:val="411272C2"/>
    <w:rsid w:val="42037750"/>
    <w:rsid w:val="421372F4"/>
    <w:rsid w:val="4284D176"/>
    <w:rsid w:val="42E0FEE6"/>
    <w:rsid w:val="446868FA"/>
    <w:rsid w:val="449EE389"/>
    <w:rsid w:val="44A8FB23"/>
    <w:rsid w:val="4638CD78"/>
    <w:rsid w:val="471E9E97"/>
    <w:rsid w:val="484339E3"/>
    <w:rsid w:val="48703D10"/>
    <w:rsid w:val="48C08A7A"/>
    <w:rsid w:val="4A7F7C05"/>
    <w:rsid w:val="4AD3BACB"/>
    <w:rsid w:val="4B428375"/>
    <w:rsid w:val="4B8F2946"/>
    <w:rsid w:val="4BA86ED4"/>
    <w:rsid w:val="4BFD138B"/>
    <w:rsid w:val="4D338AB3"/>
    <w:rsid w:val="4DA660FE"/>
    <w:rsid w:val="4E973839"/>
    <w:rsid w:val="510F3074"/>
    <w:rsid w:val="512C7C40"/>
    <w:rsid w:val="515AB37A"/>
    <w:rsid w:val="515C7064"/>
    <w:rsid w:val="5189942C"/>
    <w:rsid w:val="52F683DB"/>
    <w:rsid w:val="532B3C12"/>
    <w:rsid w:val="55FA4715"/>
    <w:rsid w:val="5658C53A"/>
    <w:rsid w:val="569C1CFF"/>
    <w:rsid w:val="58243561"/>
    <w:rsid w:val="583BAD14"/>
    <w:rsid w:val="58ED34F0"/>
    <w:rsid w:val="5B58F1E4"/>
    <w:rsid w:val="5BCB2A5F"/>
    <w:rsid w:val="5C061760"/>
    <w:rsid w:val="5CD15AEC"/>
    <w:rsid w:val="5E1E1829"/>
    <w:rsid w:val="5EE1B42A"/>
    <w:rsid w:val="607337F0"/>
    <w:rsid w:val="607D848B"/>
    <w:rsid w:val="61981D74"/>
    <w:rsid w:val="61D6BAE2"/>
    <w:rsid w:val="6222339A"/>
    <w:rsid w:val="62AC37EF"/>
    <w:rsid w:val="633AA146"/>
    <w:rsid w:val="63CA19FF"/>
    <w:rsid w:val="64813933"/>
    <w:rsid w:val="64D671A7"/>
    <w:rsid w:val="650E5BA4"/>
    <w:rsid w:val="6592545E"/>
    <w:rsid w:val="65A126BD"/>
    <w:rsid w:val="67AF5CA0"/>
    <w:rsid w:val="69524E2A"/>
    <w:rsid w:val="69CA7D61"/>
    <w:rsid w:val="6B897116"/>
    <w:rsid w:val="6CB288AC"/>
    <w:rsid w:val="6CB29864"/>
    <w:rsid w:val="6CDEAB8A"/>
    <w:rsid w:val="6DAB702B"/>
    <w:rsid w:val="6E9858D8"/>
    <w:rsid w:val="6EA8BB6A"/>
    <w:rsid w:val="6EFA4BB6"/>
    <w:rsid w:val="6F16824D"/>
    <w:rsid w:val="6F9619D1"/>
    <w:rsid w:val="6FC31F0D"/>
    <w:rsid w:val="71104140"/>
    <w:rsid w:val="712F5AB8"/>
    <w:rsid w:val="72306BA5"/>
    <w:rsid w:val="724B2FE2"/>
    <w:rsid w:val="737C39FF"/>
    <w:rsid w:val="749958C6"/>
    <w:rsid w:val="74F482F7"/>
    <w:rsid w:val="759EF8DD"/>
    <w:rsid w:val="75AED98F"/>
    <w:rsid w:val="75C72BB8"/>
    <w:rsid w:val="75FCB035"/>
    <w:rsid w:val="77392A14"/>
    <w:rsid w:val="77467F07"/>
    <w:rsid w:val="77E0AB9D"/>
    <w:rsid w:val="78887901"/>
    <w:rsid w:val="788D7F63"/>
    <w:rsid w:val="78F9E42E"/>
    <w:rsid w:val="79053FDB"/>
    <w:rsid w:val="79546C12"/>
    <w:rsid w:val="79E2187F"/>
    <w:rsid w:val="7A70CAD6"/>
    <w:rsid w:val="7B63C47B"/>
    <w:rsid w:val="7C19F02A"/>
    <w:rsid w:val="7C95486E"/>
    <w:rsid w:val="7D0285A2"/>
    <w:rsid w:val="7D377ED9"/>
    <w:rsid w:val="7DAD1B67"/>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basedOn w:val="7"/>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paragraph" w:customStyle="1" w:styleId="118">
    <w:name w:val="Conteúdo da tabela"/>
    <w:basedOn w:val="1"/>
    <w:qFormat/>
    <w:uiPriority w:val="0"/>
    <w:pPr>
      <w:widowControl w:val="0"/>
      <w:suppressLineNumbers/>
    </w:pPr>
  </w:style>
  <w:style w:type="paragraph" w:customStyle="1" w:styleId="119">
    <w:name w:val="Default"/>
    <w:unhideWhenUsed/>
    <w:qFormat/>
    <w:uiPriority w:val="99"/>
    <w:pPr>
      <w:widowControl w:val="0"/>
      <w:autoSpaceDE w:val="0"/>
      <w:autoSpaceDN w:val="0"/>
      <w:adjustRightInd w:val="0"/>
      <w:spacing w:beforeLines="0" w:afterLines="0"/>
    </w:pPr>
    <w:rPr>
      <w:rFonts w:hint="default" w:ascii="Arial" w:hAnsi="Arial" w:eastAsia="SimSun" w:cs="Times New Roman"/>
      <w:color w:val="000000"/>
      <w:sz w:val="24"/>
      <w:szCs w:val="24"/>
    </w:rPr>
  </w:style>
  <w:style w:type="table" w:customStyle="1" w:styleId="12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65CDB-1419-435A-AC24-1D47985E0D45}">
  <ds:schemaRefs/>
</ds:datastoreItem>
</file>

<file path=customXml/itemProps2.xml><?xml version="1.0" encoding="utf-8"?>
<ds:datastoreItem xmlns:ds="http://schemas.openxmlformats.org/officeDocument/2006/customXml" ds:itemID="{2B11408A-6D5C-4CA6-95AE-BDB1C00B1E4C}">
  <ds:schemaRefs/>
</ds:datastoreItem>
</file>

<file path=customXml/itemProps3.xml><?xml version="1.0" encoding="utf-8"?>
<ds:datastoreItem xmlns:ds="http://schemas.openxmlformats.org/officeDocument/2006/customXml" ds:itemID="{7C541C99-BA1C-408F-8BE9-FD886FF1D685}">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DA862052-D844-467A-AC8D-623B16AA760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0</TotalTime>
  <ScaleCrop>false</ScaleCrop>
  <LinksUpToDate>false</LinksUpToDate>
  <CharactersWithSpaces>30501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Marcelo Andrade</cp:lastModifiedBy>
  <cp:lastPrinted>2024-05-24T19:17:00Z</cp:lastPrinted>
  <dcterms:modified xsi:type="dcterms:W3CDTF">2024-06-10T19:04:46Z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078934D1E58A435C849744B930B18542</vt:lpwstr>
  </property>
</Properties>
</file>